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21B3F" w14:textId="77777777" w:rsidR="003F5909" w:rsidRDefault="00000000">
      <w:pPr>
        <w:pStyle w:val="Titre"/>
      </w:pPr>
      <w:r>
        <w:t>Interactions sociales et dynamique de groupe</w:t>
      </w:r>
    </w:p>
    <w:p w14:paraId="534C099E" w14:textId="77777777" w:rsidR="003F5909" w:rsidRDefault="00000000">
      <w:pPr>
        <w:pStyle w:val="Titre1"/>
      </w:pPr>
      <w:r>
        <w:t>Apprentissage collaboratif vs Coopératif</w:t>
      </w:r>
    </w:p>
    <w:p w14:paraId="2719C20D" w14:textId="77777777" w:rsidR="003F5909" w:rsidRDefault="00000000">
      <w:pPr>
        <w:pStyle w:val="Titre2"/>
      </w:pPr>
      <w:r>
        <w:t>Définitions</w:t>
      </w:r>
    </w:p>
    <w:p w14:paraId="51B72DA0" w14:textId="6FE1905B" w:rsidR="004C5400" w:rsidRPr="004C5400" w:rsidRDefault="004C5400" w:rsidP="004C5400">
      <w:pPr>
        <w:rPr>
          <w:rFonts w:asciiTheme="minorHAnsi" w:hAnsiTheme="minorHAnsi" w:cstheme="minorHAnsi"/>
        </w:rPr>
      </w:pPr>
      <w:r w:rsidRPr="004C5400">
        <w:rPr>
          <w:rFonts w:asciiTheme="minorHAnsi" w:hAnsiTheme="minorHAnsi" w:cstheme="minorHAnsi"/>
          <w:b/>
          <w:bCs/>
          <w:color w:val="C45911"/>
          <w:shd w:val="clear" w:color="auto" w:fill="FFFFFF"/>
        </w:rPr>
        <w:t>Interaction</w:t>
      </w:r>
      <w:r w:rsidRPr="004C5400">
        <w:rPr>
          <w:rFonts w:asciiTheme="minorHAnsi" w:hAnsiTheme="minorHAnsi" w:cstheme="minorHAnsi"/>
          <w:color w:val="C45911"/>
          <w:shd w:val="clear" w:color="auto" w:fill="FFFFFF"/>
        </w:rPr>
        <w:t xml:space="preserve"> : relation d’interdépendance ou de dépendance réciproque entre l’activité de plusieurs acteurs </w:t>
      </w:r>
      <w:r w:rsidRPr="004C5400">
        <w:rPr>
          <w:rFonts w:asciiTheme="minorHAnsi" w:hAnsiTheme="minorHAnsi" w:cstheme="minorHAnsi"/>
          <w:color w:val="000000"/>
          <w:shd w:val="clear" w:color="auto" w:fill="FFFFFF"/>
        </w:rPr>
        <w:t>(</w:t>
      </w:r>
      <w:r w:rsidRPr="004C5400">
        <w:rPr>
          <w:rFonts w:asciiTheme="minorHAnsi" w:hAnsiTheme="minorHAnsi" w:cstheme="minorHAnsi"/>
          <w:b/>
          <w:bCs/>
          <w:color w:val="FFC000"/>
          <w:shd w:val="clear" w:color="auto" w:fill="FFFFFF"/>
        </w:rPr>
        <w:t>Lexique pour l’action, 2016</w:t>
      </w:r>
      <w:r w:rsidRPr="004C5400">
        <w:rPr>
          <w:rFonts w:asciiTheme="minorHAnsi" w:hAnsiTheme="minorHAnsi" w:cstheme="minorHAnsi"/>
          <w:color w:val="000000"/>
          <w:shd w:val="clear" w:color="auto" w:fill="FFFFFF"/>
        </w:rPr>
        <w:t>).</w:t>
      </w:r>
    </w:p>
    <w:p w14:paraId="65B0BFC1" w14:textId="77777777" w:rsidR="004C5400" w:rsidRPr="004C5400" w:rsidRDefault="004C5400" w:rsidP="004C5400"/>
    <w:p w14:paraId="2236236C" w14:textId="77777777" w:rsidR="003F5909" w:rsidRDefault="00000000">
      <w:r>
        <w:t xml:space="preserve">L’A Coop </w:t>
      </w:r>
      <w:proofErr w:type="gramStart"/>
      <w:r>
        <w:t>peut</w:t>
      </w:r>
      <w:proofErr w:type="gramEnd"/>
      <w:r>
        <w:t xml:space="preserve"> être considéré comme « une série de processus qui aident les personnes à interagir dans le sens d’un </w:t>
      </w:r>
      <w:r>
        <w:rPr>
          <w:color w:val="C00000"/>
        </w:rPr>
        <w:t>objectif particulier ou pour parvenir à un produit final </w:t>
      </w:r>
      <w:r>
        <w:t xml:space="preserve">» </w:t>
      </w:r>
      <w:r>
        <w:rPr>
          <w:smallCaps/>
          <w:color w:val="000000"/>
          <w:sz w:val="20"/>
          <w:szCs w:val="20"/>
          <w:u w:val="single"/>
        </w:rPr>
        <w:t>(</w:t>
      </w:r>
      <w:proofErr w:type="spellStart"/>
      <w:r>
        <w:rPr>
          <w:smallCaps/>
          <w:color w:val="000000"/>
          <w:sz w:val="20"/>
          <w:szCs w:val="20"/>
          <w:u w:val="single"/>
        </w:rPr>
        <w:t>Panitz</w:t>
      </w:r>
      <w:proofErr w:type="spellEnd"/>
      <w:r>
        <w:rPr>
          <w:smallCaps/>
          <w:color w:val="000000"/>
          <w:sz w:val="20"/>
          <w:szCs w:val="20"/>
          <w:u w:val="single"/>
        </w:rPr>
        <w:t>, 1999)</w:t>
      </w:r>
    </w:p>
    <w:p w14:paraId="11F9B0A4" w14:textId="77777777" w:rsidR="003F5909" w:rsidRDefault="00000000">
      <w:pPr>
        <w:rPr>
          <w:smallCaps/>
          <w:color w:val="000000"/>
          <w:sz w:val="20"/>
          <w:szCs w:val="20"/>
          <w:u w:val="single"/>
        </w:rPr>
      </w:pPr>
      <w:r>
        <w:t xml:space="preserve">Une situation peut être qualifiée de </w:t>
      </w:r>
      <w:r>
        <w:rPr>
          <w:b/>
        </w:rPr>
        <w:t>collaborative</w:t>
      </w:r>
      <w:r>
        <w:t xml:space="preserve"> à partir du moment où des personnes de </w:t>
      </w:r>
      <w:r>
        <w:rPr>
          <w:color w:val="C00000"/>
        </w:rPr>
        <w:t>même niveau cognitif</w:t>
      </w:r>
      <w:r>
        <w:t xml:space="preserve">, dont les statuts sont équivalents, sont capables de travailler ensemble dans un but commun. Cette situation est ensuite considérée comme </w:t>
      </w:r>
      <w:r>
        <w:rPr>
          <w:b/>
        </w:rPr>
        <w:t>interactive</w:t>
      </w:r>
      <w:r>
        <w:t xml:space="preserve"> si ces personnes communiquent de façon </w:t>
      </w:r>
      <w:r>
        <w:rPr>
          <w:color w:val="C00000"/>
        </w:rPr>
        <w:t>soutenue, argumentent, voire s’opposent en évitant toutefois d’imposer leurs points de vue</w:t>
      </w:r>
      <w:r>
        <w:t xml:space="preserve">. </w:t>
      </w:r>
      <w:r>
        <w:rPr>
          <w:smallCaps/>
          <w:color w:val="000000"/>
          <w:sz w:val="20"/>
          <w:szCs w:val="20"/>
          <w:u w:val="single"/>
        </w:rPr>
        <w:t>(Dillenbourg, 1999)</w:t>
      </w:r>
    </w:p>
    <w:p w14:paraId="32FA4537" w14:textId="77777777" w:rsidR="003F5909" w:rsidRDefault="003F5909"/>
    <w:p w14:paraId="463E2D51" w14:textId="77777777" w:rsidR="003F5909" w:rsidRDefault="00000000">
      <w:r>
        <w:t xml:space="preserve">L’A Coop, comme l’A Coll, réfèrent au travail à plusieurs, à l’activité groupale. Dans les deux cas, les membres des groupes ont des buts communs, ils visent une production collective. </w:t>
      </w:r>
    </w:p>
    <w:p w14:paraId="5A5D4A33" w14:textId="77777777" w:rsidR="003F5909" w:rsidRDefault="00000000">
      <w:r>
        <w:t xml:space="preserve">Cependant, notion </w:t>
      </w:r>
      <w:r>
        <w:rPr>
          <w:b/>
        </w:rPr>
        <w:t xml:space="preserve">d’égalité/équité pour </w:t>
      </w:r>
      <w:r>
        <w:rPr>
          <w:b/>
          <w:color w:val="C00000"/>
        </w:rPr>
        <w:t>collaboratif</w:t>
      </w:r>
      <w:r>
        <w:t xml:space="preserve">. Par ailleurs, la notion </w:t>
      </w:r>
      <w:r>
        <w:rPr>
          <w:b/>
        </w:rPr>
        <w:t>d’apprentissage</w:t>
      </w:r>
      <w:r>
        <w:t xml:space="preserve"> est évoquée en ce qui concerne </w:t>
      </w:r>
      <w:r>
        <w:rPr>
          <w:color w:val="2F5496"/>
        </w:rPr>
        <w:t>l’A Coop</w:t>
      </w:r>
      <w:r>
        <w:t xml:space="preserve">. Des progrès scolaires sont escomptés chez les élèves, </w:t>
      </w:r>
      <w:r>
        <w:rPr>
          <w:color w:val="C00000"/>
        </w:rPr>
        <w:t xml:space="preserve">quand l’A Coll </w:t>
      </w:r>
      <w:proofErr w:type="gramStart"/>
      <w:r>
        <w:t>a</w:t>
      </w:r>
      <w:proofErr w:type="gramEnd"/>
      <w:r>
        <w:t xml:space="preserve"> plus pour </w:t>
      </w:r>
      <w:r>
        <w:rPr>
          <w:b/>
        </w:rPr>
        <w:t>vocation de les réunir, de les rapprocher et de les responsabiliser</w:t>
      </w:r>
      <w:r>
        <w:t>.</w:t>
      </w:r>
    </w:p>
    <w:p w14:paraId="47F47532" w14:textId="77777777" w:rsidR="003F5909" w:rsidRDefault="00000000">
      <w:pPr>
        <w:pStyle w:val="Titre2"/>
        <w:rPr>
          <w:rFonts w:ascii="Calibri" w:eastAsia="Calibri" w:hAnsi="Calibri" w:cs="Calibri"/>
          <w:color w:val="000000"/>
        </w:rPr>
      </w:pPr>
      <w:r>
        <w:rPr>
          <w:rFonts w:ascii="Calibri" w:eastAsia="Calibri" w:hAnsi="Calibri" w:cs="Calibri"/>
          <w:color w:val="000000"/>
        </w:rPr>
        <w:t>Théorie de l’interdépendance sociale</w:t>
      </w:r>
    </w:p>
    <w:p w14:paraId="0840E3DF" w14:textId="77777777" w:rsidR="003F5909" w:rsidRDefault="00000000">
      <w:r>
        <w:t xml:space="preserve">D’après </w:t>
      </w:r>
      <w:r>
        <w:rPr>
          <w:smallCaps/>
          <w:color w:val="000000"/>
          <w:sz w:val="20"/>
          <w:szCs w:val="20"/>
          <w:u w:val="single"/>
        </w:rPr>
        <w:t>Deutsch, 1949</w:t>
      </w:r>
      <w:r>
        <w:t>, il ne suffit pas de mettre des élèves en groupe pour qu’ils coopèrent. Pour que la coopération s’installe et soit génératrice non seulement d’engagement comportemental, mais surtout d’engagement émotionnel et cognitif</w:t>
      </w:r>
      <w:r>
        <w:rPr>
          <w:color w:val="C00000"/>
        </w:rPr>
        <w:t xml:space="preserve">, 5 déterminants de l’apprentissage </w:t>
      </w:r>
      <w:r>
        <w:rPr>
          <w:b/>
          <w:color w:val="C00000"/>
        </w:rPr>
        <w:t>coopératif</w:t>
      </w:r>
      <w:r>
        <w:t xml:space="preserve"> ont été mis en évidence dans la littérature scientifique</w:t>
      </w:r>
    </w:p>
    <w:p w14:paraId="3C729A49" w14:textId="77777777" w:rsidR="003F5909" w:rsidRDefault="00000000">
      <w:pPr>
        <w:numPr>
          <w:ilvl w:val="0"/>
          <w:numId w:val="3"/>
        </w:numPr>
        <w:pBdr>
          <w:top w:val="nil"/>
          <w:left w:val="nil"/>
          <w:bottom w:val="nil"/>
          <w:right w:val="nil"/>
          <w:between w:val="nil"/>
        </w:pBdr>
        <w:spacing w:after="0"/>
      </w:pPr>
      <w:r>
        <w:rPr>
          <w:color w:val="2F5496"/>
        </w:rPr>
        <w:t xml:space="preserve">L'interdépendance positive </w:t>
      </w:r>
      <w:r>
        <w:rPr>
          <w:color w:val="000000"/>
        </w:rPr>
        <w:t>(e.g., la poursuite d'objectifs communs)</w:t>
      </w:r>
    </w:p>
    <w:p w14:paraId="1395A5CF" w14:textId="77777777" w:rsidR="003F5909" w:rsidRDefault="00000000">
      <w:pPr>
        <w:numPr>
          <w:ilvl w:val="0"/>
          <w:numId w:val="3"/>
        </w:numPr>
        <w:pBdr>
          <w:top w:val="nil"/>
          <w:left w:val="nil"/>
          <w:bottom w:val="nil"/>
          <w:right w:val="nil"/>
          <w:between w:val="nil"/>
        </w:pBdr>
        <w:spacing w:after="0"/>
      </w:pPr>
      <w:r>
        <w:rPr>
          <w:color w:val="000000"/>
        </w:rPr>
        <w:t xml:space="preserve">La </w:t>
      </w:r>
      <w:r>
        <w:rPr>
          <w:color w:val="2F5496"/>
        </w:rPr>
        <w:t xml:space="preserve">responsabilité </w:t>
      </w:r>
      <w:r>
        <w:rPr>
          <w:color w:val="000000"/>
        </w:rPr>
        <w:t xml:space="preserve">et </w:t>
      </w:r>
      <w:r>
        <w:rPr>
          <w:color w:val="2F5496"/>
        </w:rPr>
        <w:t xml:space="preserve">l'obligation de rendre des comptes </w:t>
      </w:r>
      <w:r>
        <w:rPr>
          <w:color w:val="000000"/>
        </w:rPr>
        <w:t>(e.g., la facilité d'évaluer les contributions de tous les membres du groupe aux objectifs du groupe)</w:t>
      </w:r>
    </w:p>
    <w:p w14:paraId="6F06AE05" w14:textId="77777777" w:rsidR="003F5909" w:rsidRDefault="00000000">
      <w:pPr>
        <w:numPr>
          <w:ilvl w:val="0"/>
          <w:numId w:val="3"/>
        </w:numPr>
        <w:pBdr>
          <w:top w:val="nil"/>
          <w:left w:val="nil"/>
          <w:bottom w:val="nil"/>
          <w:right w:val="nil"/>
          <w:between w:val="nil"/>
        </w:pBdr>
        <w:spacing w:after="0"/>
      </w:pPr>
      <w:r>
        <w:rPr>
          <w:color w:val="000000"/>
        </w:rPr>
        <w:lastRenderedPageBreak/>
        <w:t xml:space="preserve">Les </w:t>
      </w:r>
      <w:r>
        <w:rPr>
          <w:color w:val="2F5496"/>
        </w:rPr>
        <w:t xml:space="preserve">interactions promotrices </w:t>
      </w:r>
      <w:r>
        <w:rPr>
          <w:color w:val="000000"/>
        </w:rPr>
        <w:t>(e.g., l'échange des ressources nécessaires, la prise en compte du point de vue du partenaire, l'encouragement de l'engagement des autres)</w:t>
      </w:r>
    </w:p>
    <w:p w14:paraId="6E4EDC04" w14:textId="77777777" w:rsidR="003F5909" w:rsidRDefault="00000000">
      <w:pPr>
        <w:numPr>
          <w:ilvl w:val="0"/>
          <w:numId w:val="3"/>
        </w:numPr>
        <w:pBdr>
          <w:top w:val="nil"/>
          <w:left w:val="nil"/>
          <w:bottom w:val="nil"/>
          <w:right w:val="nil"/>
          <w:between w:val="nil"/>
        </w:pBdr>
        <w:spacing w:after="0"/>
      </w:pPr>
      <w:r>
        <w:rPr>
          <w:color w:val="000000"/>
        </w:rPr>
        <w:t xml:space="preserve">Les </w:t>
      </w:r>
      <w:r>
        <w:rPr>
          <w:color w:val="2F5496"/>
        </w:rPr>
        <w:t xml:space="preserve">compétences sociales </w:t>
      </w:r>
      <w:r>
        <w:rPr>
          <w:color w:val="000000"/>
        </w:rPr>
        <w:t>(e.g., faire confiance aux autres membres du groupe, communiquer de manière précise et non équivoque, tolérer et soutenir les autres membres, réguler les conflits de manière constructive)</w:t>
      </w:r>
    </w:p>
    <w:p w14:paraId="625B7C5D" w14:textId="77777777" w:rsidR="003F5909" w:rsidRDefault="00000000">
      <w:pPr>
        <w:numPr>
          <w:ilvl w:val="0"/>
          <w:numId w:val="3"/>
        </w:numPr>
        <w:pBdr>
          <w:top w:val="nil"/>
          <w:left w:val="nil"/>
          <w:bottom w:val="nil"/>
          <w:right w:val="nil"/>
          <w:between w:val="nil"/>
        </w:pBdr>
      </w:pPr>
      <w:r>
        <w:rPr>
          <w:color w:val="000000"/>
        </w:rPr>
        <w:t xml:space="preserve">Le </w:t>
      </w:r>
      <w:r>
        <w:rPr>
          <w:color w:val="2F5496"/>
        </w:rPr>
        <w:t xml:space="preserve">traitement de groupe </w:t>
      </w:r>
      <w:r>
        <w:rPr>
          <w:color w:val="000000"/>
        </w:rPr>
        <w:t>(i.e., les processus métacognitifs permettant au groupe de reconsidérer les décisions et d'éviter les phénomènes de recherche de concordance)</w:t>
      </w:r>
    </w:p>
    <w:p w14:paraId="6ABEDFD0" w14:textId="77777777" w:rsidR="003F5909" w:rsidRDefault="00000000">
      <w:pPr>
        <w:pStyle w:val="Titre1"/>
      </w:pPr>
      <w:r>
        <w:t>Théories socio cognitives de l'apprentissage</w:t>
      </w:r>
    </w:p>
    <w:p w14:paraId="379D1B36" w14:textId="77777777" w:rsidR="003F5909" w:rsidRDefault="00000000">
      <w:pPr>
        <w:pStyle w:val="Titre2"/>
      </w:pPr>
      <w:r>
        <w:t>Interactions sociales</w:t>
      </w:r>
    </w:p>
    <w:p w14:paraId="2129A8A2" w14:textId="77777777" w:rsidR="003F5909" w:rsidRDefault="00000000">
      <w:pPr>
        <w:rPr>
          <w:smallCaps/>
          <w:color w:val="000000"/>
          <w:sz w:val="20"/>
          <w:szCs w:val="20"/>
          <w:u w:val="single"/>
        </w:rPr>
      </w:pPr>
      <w:r>
        <w:rPr>
          <w:smallCaps/>
          <w:color w:val="000000"/>
          <w:sz w:val="20"/>
          <w:szCs w:val="20"/>
          <w:u w:val="single"/>
        </w:rPr>
        <w:t>Modèle de BEAUDICHON, VERBA, et WINNYKAMEN (1988)</w:t>
      </w:r>
    </w:p>
    <w:p w14:paraId="5637034D" w14:textId="77777777" w:rsidR="003F5909" w:rsidRDefault="00000000">
      <w:r>
        <w:t>Modèle qui tente de catégoriser les différents mécanismes socio-cognitifs (3) permettant la construction et la consolidation de compétences de nature cognitives.</w:t>
      </w:r>
    </w:p>
    <w:p w14:paraId="17868082" w14:textId="77777777" w:rsidR="003F5909" w:rsidRDefault="00000000">
      <w:pPr>
        <w:pStyle w:val="Titre3"/>
      </w:pPr>
      <w:r>
        <w:t>Co construction</w:t>
      </w:r>
    </w:p>
    <w:p w14:paraId="1DFCC568" w14:textId="77777777" w:rsidR="003F5909" w:rsidRDefault="00000000">
      <w:r>
        <w:t xml:space="preserve">Le premier mécanisme (co-construction) privilégie la </w:t>
      </w:r>
      <w:r>
        <w:rPr>
          <w:color w:val="2F5496"/>
        </w:rPr>
        <w:t xml:space="preserve">construction sociale des connaissances </w:t>
      </w:r>
      <w:r>
        <w:t xml:space="preserve">lors d'interactions dans des </w:t>
      </w:r>
      <w:r>
        <w:rPr>
          <w:color w:val="C00000"/>
        </w:rPr>
        <w:t xml:space="preserve">dyades symétriques ou légèrement dissymétriques </w:t>
      </w:r>
      <w:r>
        <w:t xml:space="preserve">quant au niveau de développement par rapport à l'atteinte d'une compétence </w:t>
      </w:r>
      <w:r>
        <w:rPr>
          <w:color w:val="2F5496"/>
        </w:rPr>
        <w:t xml:space="preserve">cognitive </w:t>
      </w:r>
      <w:r>
        <w:t>(par exemple, la conservation des quantités de liquide, ou des longueurs).</w:t>
      </w:r>
    </w:p>
    <w:p w14:paraId="052DF9E1" w14:textId="77777777" w:rsidR="003F5909" w:rsidRDefault="00000000">
      <w:pPr>
        <w:rPr>
          <w:color w:val="C00000"/>
        </w:rPr>
      </w:pPr>
      <w:r>
        <w:t xml:space="preserve">Ainsi </w:t>
      </w:r>
      <w:r>
        <w:rPr>
          <w:smallCaps/>
          <w:color w:val="000000"/>
          <w:sz w:val="20"/>
          <w:szCs w:val="20"/>
          <w:u w:val="single"/>
        </w:rPr>
        <w:t>Gilly (&amp; al., 1988)</w:t>
      </w:r>
      <w:r>
        <w:t xml:space="preserve"> </w:t>
      </w:r>
      <w:proofErr w:type="gramStart"/>
      <w:r>
        <w:t>montrent</w:t>
      </w:r>
      <w:proofErr w:type="gramEnd"/>
      <w:r>
        <w:t xml:space="preserve"> que la résolution en </w:t>
      </w:r>
      <w:r>
        <w:rPr>
          <w:color w:val="C00000"/>
        </w:rPr>
        <w:t xml:space="preserve">dyade paritaire </w:t>
      </w:r>
      <w:r>
        <w:t xml:space="preserve">est plus efficace que la résolution en situation de recherche </w:t>
      </w:r>
      <w:r>
        <w:rPr>
          <w:color w:val="C00000"/>
        </w:rPr>
        <w:t>solitaire</w:t>
      </w:r>
    </w:p>
    <w:p w14:paraId="4FD7F112" w14:textId="77777777" w:rsidR="003F5909" w:rsidRDefault="00000000">
      <w:r>
        <w:rPr>
          <w:smallCaps/>
          <w:color w:val="000000"/>
          <w:sz w:val="20"/>
          <w:szCs w:val="20"/>
          <w:u w:val="single"/>
        </w:rPr>
        <w:t>DOISE &amp; MUGNY, 1981</w:t>
      </w:r>
      <w:r>
        <w:t xml:space="preserve"> : Courant néo-</w:t>
      </w:r>
      <w:proofErr w:type="spellStart"/>
      <w:r>
        <w:t>piagetien</w:t>
      </w:r>
      <w:proofErr w:type="spellEnd"/>
      <w:r>
        <w:t xml:space="preserve"> de l’école de Genève qui poursuivent les travaux sur le conflit cognitif effectués par Piaget. Ici la source du conflit peut être autrui et la confrontation de point de vue amène un niveau de développement supérieur</w:t>
      </w:r>
    </w:p>
    <w:p w14:paraId="2A48328E" w14:textId="77777777" w:rsidR="003F5909" w:rsidRDefault="00000000">
      <w:pPr>
        <w:numPr>
          <w:ilvl w:val="0"/>
          <w:numId w:val="2"/>
        </w:numPr>
        <w:pBdr>
          <w:top w:val="nil"/>
          <w:left w:val="nil"/>
          <w:bottom w:val="nil"/>
          <w:right w:val="nil"/>
          <w:between w:val="nil"/>
        </w:pBdr>
        <w:spacing w:after="0"/>
      </w:pPr>
      <w:r>
        <w:rPr>
          <w:color w:val="000000"/>
        </w:rPr>
        <w:t xml:space="preserve">Expression du point de vue divergent d’autrui → </w:t>
      </w:r>
      <w:r>
        <w:rPr>
          <w:color w:val="C00000"/>
        </w:rPr>
        <w:t>Décentration cognitive</w:t>
      </w:r>
    </w:p>
    <w:p w14:paraId="2EC84475" w14:textId="77777777" w:rsidR="003F5909" w:rsidRDefault="00000000">
      <w:pPr>
        <w:numPr>
          <w:ilvl w:val="0"/>
          <w:numId w:val="2"/>
        </w:numPr>
        <w:pBdr>
          <w:top w:val="nil"/>
          <w:left w:val="nil"/>
          <w:bottom w:val="nil"/>
          <w:right w:val="nil"/>
          <w:between w:val="nil"/>
        </w:pBdr>
        <w:spacing w:after="0"/>
      </w:pPr>
      <w:r>
        <w:rPr>
          <w:color w:val="2F5496"/>
        </w:rPr>
        <w:t xml:space="preserve">Déséquilibre </w:t>
      </w:r>
      <w:r>
        <w:rPr>
          <w:color w:val="000000"/>
        </w:rPr>
        <w:t>cognitif qui engendre la nécessité d’une résolution cognitive du conflit</w:t>
      </w:r>
    </w:p>
    <w:p w14:paraId="53F7124C" w14:textId="77777777" w:rsidR="003F5909" w:rsidRDefault="00000000">
      <w:pPr>
        <w:numPr>
          <w:ilvl w:val="0"/>
          <w:numId w:val="2"/>
        </w:numPr>
        <w:pBdr>
          <w:top w:val="nil"/>
          <w:left w:val="nil"/>
          <w:bottom w:val="nil"/>
          <w:right w:val="nil"/>
          <w:between w:val="nil"/>
        </w:pBdr>
      </w:pPr>
      <w:r>
        <w:rPr>
          <w:color w:val="2F5496"/>
        </w:rPr>
        <w:t xml:space="preserve">Restructuration </w:t>
      </w:r>
      <w:r>
        <w:rPr>
          <w:color w:val="000000"/>
        </w:rPr>
        <w:t>cognitive par les échanges entre pairs qui engendre un progrès cognitif</w:t>
      </w:r>
    </w:p>
    <w:p w14:paraId="4885C6A0" w14:textId="77777777" w:rsidR="003F5909" w:rsidRDefault="00000000">
      <w:pPr>
        <w:rPr>
          <w:smallCaps/>
          <w:color w:val="000000"/>
          <w:sz w:val="20"/>
          <w:szCs w:val="20"/>
          <w:u w:val="single"/>
        </w:rPr>
      </w:pPr>
      <w:r>
        <w:rPr>
          <w:smallCaps/>
          <w:color w:val="000000"/>
          <w:sz w:val="20"/>
          <w:szCs w:val="20"/>
          <w:u w:val="single"/>
        </w:rPr>
        <w:t xml:space="preserve">Gilly, </w:t>
      </w:r>
      <w:proofErr w:type="spellStart"/>
      <w:r>
        <w:rPr>
          <w:smallCaps/>
          <w:color w:val="000000"/>
          <w:sz w:val="20"/>
          <w:szCs w:val="20"/>
          <w:u w:val="single"/>
        </w:rPr>
        <w:t>Fraisse</w:t>
      </w:r>
      <w:proofErr w:type="spellEnd"/>
      <w:r>
        <w:rPr>
          <w:smallCaps/>
          <w:color w:val="000000"/>
          <w:sz w:val="20"/>
          <w:szCs w:val="20"/>
          <w:u w:val="single"/>
        </w:rPr>
        <w:t xml:space="preserve"> et Roux, 1988, école d’Aix</w:t>
      </w:r>
    </w:p>
    <w:p w14:paraId="4F21B9DF" w14:textId="77777777" w:rsidR="003F5909" w:rsidRDefault="00000000">
      <w:r>
        <w:t xml:space="preserve">4 modes d’interactions </w:t>
      </w:r>
      <w:r>
        <w:rPr>
          <w:color w:val="C00000"/>
        </w:rPr>
        <w:t xml:space="preserve">potentiellement </w:t>
      </w:r>
      <w:r>
        <w:t>sources de progrès:</w:t>
      </w:r>
    </w:p>
    <w:p w14:paraId="5BE4805E" w14:textId="77777777" w:rsidR="003F5909" w:rsidRDefault="00000000">
      <w:pPr>
        <w:numPr>
          <w:ilvl w:val="0"/>
          <w:numId w:val="2"/>
        </w:numPr>
        <w:pBdr>
          <w:top w:val="nil"/>
          <w:left w:val="nil"/>
          <w:bottom w:val="nil"/>
          <w:right w:val="nil"/>
          <w:between w:val="nil"/>
        </w:pBdr>
        <w:spacing w:after="0"/>
      </w:pPr>
      <w:r>
        <w:rPr>
          <w:color w:val="C00000"/>
        </w:rPr>
        <w:t xml:space="preserve">Co-élaboration acquiesçante </w:t>
      </w:r>
      <w:r>
        <w:rPr>
          <w:color w:val="000000"/>
        </w:rPr>
        <w:t xml:space="preserve">: les manifestations </w:t>
      </w:r>
      <w:r>
        <w:rPr>
          <w:color w:val="C00000"/>
        </w:rPr>
        <w:t xml:space="preserve">d’accord </w:t>
      </w:r>
      <w:r>
        <w:rPr>
          <w:color w:val="000000"/>
        </w:rPr>
        <w:t>d’un sujet ont valeur de contrôle</w:t>
      </w:r>
    </w:p>
    <w:p w14:paraId="681D869D" w14:textId="77777777" w:rsidR="003F5909" w:rsidRDefault="00000000">
      <w:pPr>
        <w:numPr>
          <w:ilvl w:val="0"/>
          <w:numId w:val="2"/>
        </w:numPr>
        <w:pBdr>
          <w:top w:val="nil"/>
          <w:left w:val="nil"/>
          <w:bottom w:val="nil"/>
          <w:right w:val="nil"/>
          <w:between w:val="nil"/>
        </w:pBdr>
        <w:spacing w:after="0"/>
      </w:pPr>
      <w:r>
        <w:rPr>
          <w:color w:val="C00000"/>
        </w:rPr>
        <w:t>Co-construction sans désaccord</w:t>
      </w:r>
      <w:r>
        <w:rPr>
          <w:color w:val="000000"/>
        </w:rPr>
        <w:t xml:space="preserve">: les interventions de l’un </w:t>
      </w:r>
      <w:r>
        <w:rPr>
          <w:color w:val="C00000"/>
        </w:rPr>
        <w:t xml:space="preserve">déstabilisent </w:t>
      </w:r>
      <w:r>
        <w:rPr>
          <w:color w:val="000000"/>
        </w:rPr>
        <w:t>momentanément les propositions de l’autre</w:t>
      </w:r>
    </w:p>
    <w:p w14:paraId="4FC22786" w14:textId="77777777" w:rsidR="003F5909" w:rsidRDefault="00000000">
      <w:pPr>
        <w:numPr>
          <w:ilvl w:val="0"/>
          <w:numId w:val="2"/>
        </w:numPr>
        <w:pBdr>
          <w:top w:val="nil"/>
          <w:left w:val="nil"/>
          <w:bottom w:val="nil"/>
          <w:right w:val="nil"/>
          <w:between w:val="nil"/>
        </w:pBdr>
        <w:spacing w:after="0"/>
      </w:pPr>
      <w:r>
        <w:rPr>
          <w:color w:val="C00000"/>
        </w:rPr>
        <w:t>Confrontation contradictoire sans argumentation</w:t>
      </w:r>
      <w:r>
        <w:rPr>
          <w:color w:val="000000"/>
        </w:rPr>
        <w:t xml:space="preserve">: l’un des sujets </w:t>
      </w:r>
      <w:r>
        <w:rPr>
          <w:color w:val="C00000"/>
        </w:rPr>
        <w:t xml:space="preserve">refuse la solution </w:t>
      </w:r>
      <w:r>
        <w:rPr>
          <w:color w:val="000000"/>
        </w:rPr>
        <w:t>de l’autre</w:t>
      </w:r>
    </w:p>
    <w:p w14:paraId="66732E7F" w14:textId="77777777" w:rsidR="003F5909" w:rsidRDefault="00000000">
      <w:pPr>
        <w:numPr>
          <w:ilvl w:val="0"/>
          <w:numId w:val="2"/>
        </w:numPr>
        <w:pBdr>
          <w:top w:val="nil"/>
          <w:left w:val="nil"/>
          <w:bottom w:val="nil"/>
          <w:right w:val="nil"/>
          <w:between w:val="nil"/>
        </w:pBdr>
      </w:pPr>
      <w:r>
        <w:rPr>
          <w:color w:val="C00000"/>
        </w:rPr>
        <w:t xml:space="preserve">Confrontation contradictoire </w:t>
      </w:r>
      <w:r>
        <w:rPr>
          <w:color w:val="000000"/>
        </w:rPr>
        <w:t xml:space="preserve">: forme la plus </w:t>
      </w:r>
      <w:r>
        <w:rPr>
          <w:color w:val="C00000"/>
        </w:rPr>
        <w:t xml:space="preserve">efficace </w:t>
      </w:r>
      <w:r>
        <w:rPr>
          <w:color w:val="000000"/>
        </w:rPr>
        <w:t>de coopération (« conflit socio-cognitif »)</w:t>
      </w:r>
    </w:p>
    <w:p w14:paraId="6BCBB0C6" w14:textId="77777777" w:rsidR="003F5909" w:rsidRDefault="00000000">
      <w:pPr>
        <w:pStyle w:val="Titre3"/>
      </w:pPr>
      <w:r>
        <w:t>Tutelle</w:t>
      </w:r>
    </w:p>
    <w:p w14:paraId="004998B1" w14:textId="77777777" w:rsidR="003F5909" w:rsidRDefault="00000000">
      <w:r>
        <w:t>Le Second mécanisme (tutelle) suppose au contraire une dissymétrie.</w:t>
      </w:r>
    </w:p>
    <w:p w14:paraId="22735C0D" w14:textId="77777777" w:rsidR="003F5909" w:rsidRDefault="00000000">
      <w:r>
        <w:lastRenderedPageBreak/>
        <w:t xml:space="preserve">Notion de </w:t>
      </w:r>
      <w:r>
        <w:rPr>
          <w:color w:val="C00000"/>
        </w:rPr>
        <w:t xml:space="preserve">Zone Proximale de Développement </w:t>
      </w:r>
      <w:r>
        <w:t>(ZPD) : différence entre le niveau actuel et le niveau potentiel avec l’aide de l’adulte. (= L’élève peut le faire en étant aidé)</w:t>
      </w:r>
    </w:p>
    <w:p w14:paraId="3E9F1679" w14:textId="77777777" w:rsidR="003F5909" w:rsidRDefault="00000000">
      <w:r>
        <w:t xml:space="preserve">Prolongement avec la notion </w:t>
      </w:r>
      <w:r>
        <w:rPr>
          <w:color w:val="C00000"/>
        </w:rPr>
        <w:t xml:space="preserve">d’étayage </w:t>
      </w:r>
      <w:r>
        <w:rPr>
          <w:smallCaps/>
          <w:color w:val="000000"/>
          <w:sz w:val="20"/>
          <w:szCs w:val="20"/>
          <w:u w:val="single"/>
        </w:rPr>
        <w:t xml:space="preserve">Bruner, 1983 </w:t>
      </w:r>
      <w:r>
        <w:t>:</w:t>
      </w:r>
    </w:p>
    <w:p w14:paraId="782DE736" w14:textId="77777777" w:rsidR="003F5909" w:rsidRDefault="00000000">
      <w:pPr>
        <w:numPr>
          <w:ilvl w:val="0"/>
          <w:numId w:val="4"/>
        </w:numPr>
        <w:pBdr>
          <w:top w:val="nil"/>
          <w:left w:val="nil"/>
          <w:bottom w:val="nil"/>
          <w:right w:val="nil"/>
          <w:between w:val="nil"/>
        </w:pBdr>
      </w:pPr>
      <w:r>
        <w:rPr>
          <w:color w:val="000000"/>
        </w:rPr>
        <w:t xml:space="preserve">Action de l’adulte permettant le développement cognitif de l’enfant qui passe par : une simplification de la tâche afin de </w:t>
      </w:r>
      <w:r>
        <w:rPr>
          <w:color w:val="C00000"/>
        </w:rPr>
        <w:t>resituer l’élève en ZPD</w:t>
      </w:r>
      <w:r>
        <w:rPr>
          <w:color w:val="000000"/>
        </w:rPr>
        <w:t>, une précision des consignes, un contrôle de la frustration ou des informations complémentaires</w:t>
      </w:r>
      <w:r>
        <w:rPr>
          <w:color w:val="000000"/>
        </w:rPr>
        <w:tab/>
      </w:r>
    </w:p>
    <w:p w14:paraId="140BF8DB" w14:textId="77777777" w:rsidR="003F5909" w:rsidRDefault="00000000">
      <w:pPr>
        <w:pStyle w:val="Titre3"/>
      </w:pPr>
      <w:r>
        <w:t>Imitation</w:t>
      </w:r>
    </w:p>
    <w:p w14:paraId="2A56B550" w14:textId="77777777" w:rsidR="003F5909" w:rsidRDefault="00000000">
      <w:r>
        <w:rPr>
          <w:smallCaps/>
          <w:color w:val="000000"/>
          <w:sz w:val="20"/>
          <w:szCs w:val="20"/>
          <w:u w:val="single"/>
        </w:rPr>
        <w:t>Winnykamen (1985)</w:t>
      </w:r>
      <w:r>
        <w:t xml:space="preserve"> définit </w:t>
      </w:r>
      <w:r>
        <w:rPr>
          <w:b/>
        </w:rPr>
        <w:t>l'imitation</w:t>
      </w:r>
      <w:r>
        <w:t xml:space="preserve"> comme l'utilisation intentionnelle de l'action observée comme source d'information en vue d'atteindre un but.</w:t>
      </w:r>
    </w:p>
    <w:p w14:paraId="5B768A0A" w14:textId="77777777" w:rsidR="003F5909" w:rsidRDefault="00000000">
      <w:r>
        <w:t xml:space="preserve">Dans sa fonction acquisitive, elle consiste en l’usage intentionnel de l’action d’autrui comme point de départ et/ ou </w:t>
      </w:r>
      <w:r>
        <w:rPr>
          <w:color w:val="C00000"/>
        </w:rPr>
        <w:t>comme guide de l’activité orientée vers un but</w:t>
      </w:r>
    </w:p>
    <w:p w14:paraId="6D9A8283" w14:textId="77777777" w:rsidR="003F5909" w:rsidRDefault="00000000">
      <w:r>
        <w:t xml:space="preserve">La deuxième grande fonction de l’imitation identifiée par Winnykamen est de type </w:t>
      </w:r>
      <w:r>
        <w:rPr>
          <w:color w:val="C00000"/>
        </w:rPr>
        <w:t>relationnel</w:t>
      </w:r>
      <w:r>
        <w:t xml:space="preserve">, et prend toute sa dimension en </w:t>
      </w:r>
      <w:r>
        <w:rPr>
          <w:color w:val="C00000"/>
        </w:rPr>
        <w:t xml:space="preserve">psychologie du développement </w:t>
      </w:r>
      <w:r>
        <w:t>dans les relations de l’enfant avec son entourage</w:t>
      </w:r>
    </w:p>
    <w:p w14:paraId="5B8DD679" w14:textId="77777777" w:rsidR="003F5909" w:rsidRDefault="00000000">
      <w:pPr>
        <w:pStyle w:val="Titre1"/>
      </w:pPr>
      <w:r>
        <w:t>Théories de la cohésion</w:t>
      </w:r>
    </w:p>
    <w:p w14:paraId="6B69B599" w14:textId="77777777" w:rsidR="003F5909" w:rsidRDefault="00000000">
      <w:pPr>
        <w:rPr>
          <w:smallCaps/>
          <w:color w:val="000000"/>
          <w:sz w:val="20"/>
          <w:szCs w:val="20"/>
          <w:u w:val="single"/>
        </w:rPr>
      </w:pPr>
      <w:r>
        <w:t xml:space="preserve">La cohésion renvoie à « un </w:t>
      </w:r>
      <w:r>
        <w:rPr>
          <w:b/>
          <w:color w:val="1F3864"/>
        </w:rPr>
        <w:t>processus dynamique</w:t>
      </w:r>
      <w:r>
        <w:rPr>
          <w:color w:val="1F3864"/>
        </w:rPr>
        <w:t xml:space="preserve"> </w:t>
      </w:r>
      <w:r>
        <w:t xml:space="preserve">reflété par la tendance du groupe à </w:t>
      </w:r>
      <w:r>
        <w:rPr>
          <w:b/>
          <w:color w:val="1F3864"/>
        </w:rPr>
        <w:t>rester lié</w:t>
      </w:r>
      <w:r>
        <w:rPr>
          <w:color w:val="1F3864"/>
        </w:rPr>
        <w:t xml:space="preserve"> </w:t>
      </w:r>
      <w:r>
        <w:t xml:space="preserve">et à rester </w:t>
      </w:r>
      <w:r>
        <w:rPr>
          <w:b/>
          <w:color w:val="1F3864"/>
        </w:rPr>
        <w:t>uni</w:t>
      </w:r>
      <w:r>
        <w:rPr>
          <w:color w:val="1F3864"/>
        </w:rPr>
        <w:t xml:space="preserve"> </w:t>
      </w:r>
      <w:r>
        <w:t xml:space="preserve">dans la poursuite de ses </w:t>
      </w:r>
      <w:r>
        <w:rPr>
          <w:b/>
          <w:color w:val="1F3864"/>
        </w:rPr>
        <w:t>objectifs instrumentaux</w:t>
      </w:r>
      <w:r>
        <w:rPr>
          <w:color w:val="1F3864"/>
        </w:rPr>
        <w:t xml:space="preserve"> </w:t>
      </w:r>
      <w:r>
        <w:t xml:space="preserve">et/ou pour la </w:t>
      </w:r>
      <w:r>
        <w:rPr>
          <w:b/>
          <w:color w:val="1F3864"/>
        </w:rPr>
        <w:t>satisfaction des besoins affectifs</w:t>
      </w:r>
      <w:r>
        <w:rPr>
          <w:color w:val="1F3864"/>
        </w:rPr>
        <w:t xml:space="preserve"> </w:t>
      </w:r>
      <w:r>
        <w:t xml:space="preserve">des membres » </w:t>
      </w:r>
      <w:r>
        <w:rPr>
          <w:smallCaps/>
          <w:color w:val="000000"/>
          <w:sz w:val="20"/>
          <w:szCs w:val="20"/>
          <w:u w:val="single"/>
        </w:rPr>
        <w:t xml:space="preserve">(Carron, </w:t>
      </w:r>
      <w:proofErr w:type="spellStart"/>
      <w:r>
        <w:rPr>
          <w:smallCaps/>
          <w:color w:val="000000"/>
          <w:sz w:val="20"/>
          <w:szCs w:val="20"/>
          <w:u w:val="single"/>
        </w:rPr>
        <w:t>Brawley</w:t>
      </w:r>
      <w:proofErr w:type="spellEnd"/>
      <w:r>
        <w:rPr>
          <w:smallCaps/>
          <w:color w:val="000000"/>
          <w:sz w:val="20"/>
          <w:szCs w:val="20"/>
          <w:u w:val="single"/>
        </w:rPr>
        <w:t xml:space="preserve">, &amp; </w:t>
      </w:r>
      <w:proofErr w:type="spellStart"/>
      <w:r>
        <w:rPr>
          <w:smallCaps/>
          <w:color w:val="000000"/>
          <w:sz w:val="20"/>
          <w:szCs w:val="20"/>
          <w:u w:val="single"/>
        </w:rPr>
        <w:t>Widmeyer</w:t>
      </w:r>
      <w:proofErr w:type="spellEnd"/>
      <w:r>
        <w:rPr>
          <w:smallCaps/>
          <w:color w:val="000000"/>
          <w:sz w:val="20"/>
          <w:szCs w:val="20"/>
          <w:u w:val="single"/>
        </w:rPr>
        <w:t>, 1998)</w:t>
      </w:r>
    </w:p>
    <w:p w14:paraId="5168A006" w14:textId="77777777" w:rsidR="003F5909" w:rsidRDefault="00000000">
      <w:r>
        <w:t xml:space="preserve">Deux leviers essentiels peuvent permettre à l’entraineur de solidifier la cohésion de son équipe : </w:t>
      </w:r>
    </w:p>
    <w:p w14:paraId="35CFE052" w14:textId="77777777" w:rsidR="003F5909" w:rsidRDefault="00000000">
      <w:pPr>
        <w:numPr>
          <w:ilvl w:val="0"/>
          <w:numId w:val="5"/>
        </w:numPr>
        <w:pBdr>
          <w:top w:val="nil"/>
          <w:left w:val="nil"/>
          <w:bottom w:val="nil"/>
          <w:right w:val="nil"/>
          <w:between w:val="nil"/>
        </w:pBdr>
        <w:spacing w:after="0"/>
      </w:pPr>
      <w:r>
        <w:rPr>
          <w:color w:val="000000"/>
        </w:rPr>
        <w:t xml:space="preserve">Fortifier la </w:t>
      </w:r>
      <w:r>
        <w:rPr>
          <w:color w:val="C00000"/>
        </w:rPr>
        <w:t xml:space="preserve">cohésion sociale </w:t>
      </w:r>
      <w:r>
        <w:rPr>
          <w:color w:val="000000"/>
        </w:rPr>
        <w:t xml:space="preserve">en renforçant le sentiment </w:t>
      </w:r>
      <w:r>
        <w:rPr>
          <w:color w:val="2F5496"/>
        </w:rPr>
        <w:t xml:space="preserve">d’appartenance, de proximité et de similitude </w:t>
      </w:r>
      <w:r>
        <w:rPr>
          <w:color w:val="000000"/>
        </w:rPr>
        <w:t>envers le groupe et les individus qui composent</w:t>
      </w:r>
    </w:p>
    <w:p w14:paraId="02DD70FA" w14:textId="77777777" w:rsidR="003F5909" w:rsidRDefault="00000000">
      <w:pPr>
        <w:numPr>
          <w:ilvl w:val="0"/>
          <w:numId w:val="5"/>
        </w:numPr>
        <w:pBdr>
          <w:top w:val="nil"/>
          <w:left w:val="nil"/>
          <w:bottom w:val="nil"/>
          <w:right w:val="nil"/>
          <w:between w:val="nil"/>
        </w:pBdr>
      </w:pPr>
      <w:r>
        <w:rPr>
          <w:color w:val="000000"/>
        </w:rPr>
        <w:t xml:space="preserve">Fortifier la </w:t>
      </w:r>
      <w:r>
        <w:rPr>
          <w:color w:val="C00000"/>
        </w:rPr>
        <w:t xml:space="preserve">cohésion opératoire </w:t>
      </w:r>
      <w:r>
        <w:rPr>
          <w:color w:val="000000"/>
        </w:rPr>
        <w:t xml:space="preserve">en renforçant le sentiment </w:t>
      </w:r>
      <w:r>
        <w:rPr>
          <w:color w:val="2F5496"/>
        </w:rPr>
        <w:t>de participer à la productivité et aux objectifs du groupe</w:t>
      </w:r>
      <w:r>
        <w:rPr>
          <w:color w:val="000000"/>
        </w:rPr>
        <w:t>.</w:t>
      </w:r>
    </w:p>
    <w:p w14:paraId="0443C95E" w14:textId="77777777" w:rsidR="003F5909" w:rsidRDefault="00000000">
      <w:pPr>
        <w:pStyle w:val="Titre2"/>
      </w:pPr>
      <w:r>
        <w:t>Modèle bidimensionnel de la cohésion</w:t>
      </w:r>
    </w:p>
    <w:p w14:paraId="3790C483" w14:textId="77777777" w:rsidR="003F5909" w:rsidRDefault="00000000">
      <w:r>
        <w:t xml:space="preserve">Cohésion sociale/opératoire. </w:t>
      </w:r>
    </w:p>
    <w:p w14:paraId="47CFAA40" w14:textId="77777777" w:rsidR="003F5909" w:rsidRDefault="00000000">
      <w:pPr>
        <w:pStyle w:val="Titre2"/>
      </w:pPr>
      <w:r>
        <w:t>Modèle multidimensionnel de la cohésion</w:t>
      </w:r>
    </w:p>
    <w:p w14:paraId="04C32D8C" w14:textId="77777777" w:rsidR="003F5909" w:rsidRDefault="00000000">
      <w:r>
        <w:t xml:space="preserve">Selon </w:t>
      </w:r>
      <w:r>
        <w:rPr>
          <w:smallCaps/>
          <w:color w:val="000000"/>
          <w:sz w:val="20"/>
          <w:szCs w:val="20"/>
          <w:u w:val="single"/>
        </w:rPr>
        <w:t>Dion (2000)</w:t>
      </w:r>
      <w:r>
        <w:t xml:space="preserve">, depuis les années 1980, les modèles </w:t>
      </w:r>
      <w:r>
        <w:rPr>
          <w:color w:val="C00000"/>
        </w:rPr>
        <w:t xml:space="preserve">multidimensionnels </w:t>
      </w:r>
      <w:r>
        <w:t>de la cohésion prédominent. Le débat n’est plus de savoir si la cohésion est un construit multidimensionnel mais plutôt de définir les différentes dimensions permettant de la caractériser au mieux.</w:t>
      </w:r>
    </w:p>
    <w:p w14:paraId="4EB71499" w14:textId="77777777" w:rsidR="003F5909" w:rsidRDefault="00000000">
      <w:r>
        <w:rPr>
          <w:smallCaps/>
          <w:color w:val="000000"/>
          <w:sz w:val="20"/>
          <w:szCs w:val="20"/>
          <w:u w:val="single"/>
        </w:rPr>
        <w:t>Carron et al. (1985)</w:t>
      </w:r>
      <w:r>
        <w:t xml:space="preserve"> vont développer leur propre modèle de la cohésion</w:t>
      </w:r>
    </w:p>
    <w:p w14:paraId="609E0906" w14:textId="77777777" w:rsidR="003F5909" w:rsidRDefault="00000000">
      <w:pPr>
        <w:pStyle w:val="Titre3"/>
      </w:pPr>
      <w:r>
        <w:t>Définition</w:t>
      </w:r>
    </w:p>
    <w:p w14:paraId="29CD040C" w14:textId="77777777" w:rsidR="003F5909" w:rsidRDefault="00000000">
      <w:r>
        <w:t xml:space="preserve">Ils définissent le groupe sportif comme « un </w:t>
      </w:r>
      <w:r>
        <w:rPr>
          <w:color w:val="C00000"/>
        </w:rPr>
        <w:t xml:space="preserve">rassemblement </w:t>
      </w:r>
      <w:r>
        <w:t xml:space="preserve">de deux ou plusieurs individus qui possèdent une </w:t>
      </w:r>
      <w:r>
        <w:rPr>
          <w:color w:val="C00000"/>
        </w:rPr>
        <w:t>identité commune</w:t>
      </w:r>
      <w:r>
        <w:t xml:space="preserve">, ont des </w:t>
      </w:r>
      <w:r>
        <w:rPr>
          <w:color w:val="C00000"/>
        </w:rPr>
        <w:t>buts et des objectifs communs</w:t>
      </w:r>
      <w:r>
        <w:t xml:space="preserve">, partagent un </w:t>
      </w:r>
      <w:r>
        <w:rPr>
          <w:color w:val="C00000"/>
        </w:rPr>
        <w:t>destin commun</w:t>
      </w:r>
      <w:r>
        <w:t xml:space="preserve">, présentent des </w:t>
      </w:r>
      <w:r>
        <w:rPr>
          <w:color w:val="C00000"/>
        </w:rPr>
        <w:t>patrons structurés d’interactions et de communications</w:t>
      </w:r>
      <w:r>
        <w:t xml:space="preserve">, possèdent des </w:t>
      </w:r>
      <w:r>
        <w:rPr>
          <w:color w:val="C00000"/>
        </w:rPr>
        <w:t xml:space="preserve">perceptions communes de la </w:t>
      </w:r>
      <w:r>
        <w:rPr>
          <w:color w:val="C00000"/>
        </w:rPr>
        <w:lastRenderedPageBreak/>
        <w:t>structure du groupe</w:t>
      </w:r>
      <w:r>
        <w:t xml:space="preserve">, sont personnellement et instrumentalement </w:t>
      </w:r>
      <w:r>
        <w:rPr>
          <w:color w:val="C00000"/>
        </w:rPr>
        <w:t>interdépendants</w:t>
      </w:r>
      <w:r>
        <w:t>, manifestent une attirance interpersonnelle réciproque et se considèrent eux-mêmes comme un groupe »</w:t>
      </w:r>
    </w:p>
    <w:p w14:paraId="3921042C" w14:textId="77777777" w:rsidR="003F5909" w:rsidRDefault="00000000">
      <w:pPr>
        <w:rPr>
          <w:color w:val="2F5496"/>
        </w:rPr>
      </w:pPr>
      <w:r>
        <w:t xml:space="preserve">Ils proposent de mesurer la cohésion par la double distinction </w:t>
      </w:r>
      <w:r>
        <w:rPr>
          <w:color w:val="2F5496"/>
        </w:rPr>
        <w:t xml:space="preserve">groupe/individu </w:t>
      </w:r>
      <w:r>
        <w:t xml:space="preserve">et </w:t>
      </w:r>
      <w:r>
        <w:rPr>
          <w:color w:val="2F5496"/>
        </w:rPr>
        <w:t>social/opératoire</w:t>
      </w:r>
    </w:p>
    <w:p w14:paraId="42A9CE39" w14:textId="77777777" w:rsidR="003F5909" w:rsidRDefault="00000000">
      <w:pPr>
        <w:numPr>
          <w:ilvl w:val="0"/>
          <w:numId w:val="1"/>
        </w:numPr>
        <w:pBdr>
          <w:top w:val="nil"/>
          <w:left w:val="nil"/>
          <w:bottom w:val="nil"/>
          <w:right w:val="nil"/>
          <w:between w:val="nil"/>
        </w:pBdr>
        <w:spacing w:after="0"/>
        <w:rPr>
          <w:color w:val="2F5496"/>
        </w:rPr>
      </w:pPr>
      <w:r>
        <w:rPr>
          <w:color w:val="2F5496"/>
        </w:rPr>
        <w:t>Groupe/individu</w:t>
      </w:r>
    </w:p>
    <w:p w14:paraId="07592A11" w14:textId="77777777" w:rsidR="003F5909" w:rsidRDefault="00000000">
      <w:pPr>
        <w:numPr>
          <w:ilvl w:val="1"/>
          <w:numId w:val="1"/>
        </w:numPr>
        <w:pBdr>
          <w:top w:val="nil"/>
          <w:left w:val="nil"/>
          <w:bottom w:val="nil"/>
          <w:right w:val="nil"/>
          <w:between w:val="nil"/>
        </w:pBdr>
        <w:spacing w:after="0"/>
      </w:pPr>
      <w:r>
        <w:rPr>
          <w:i/>
          <w:color w:val="C55911"/>
          <w:sz w:val="20"/>
          <w:szCs w:val="20"/>
        </w:rPr>
        <w:t>Interaction du groupe</w:t>
      </w:r>
      <w:r>
        <w:rPr>
          <w:color w:val="000000"/>
        </w:rPr>
        <w:t> : perception individuelle du degré d’unité du groupe</w:t>
      </w:r>
    </w:p>
    <w:p w14:paraId="02AF7AFD" w14:textId="77777777" w:rsidR="003F5909" w:rsidRDefault="00000000">
      <w:pPr>
        <w:numPr>
          <w:ilvl w:val="1"/>
          <w:numId w:val="1"/>
        </w:numPr>
        <w:pBdr>
          <w:top w:val="nil"/>
          <w:left w:val="nil"/>
          <w:bottom w:val="nil"/>
          <w:right w:val="nil"/>
          <w:between w:val="nil"/>
        </w:pBdr>
        <w:spacing w:after="0"/>
      </w:pPr>
      <w:r>
        <w:rPr>
          <w:i/>
          <w:color w:val="C55911"/>
          <w:sz w:val="20"/>
          <w:szCs w:val="20"/>
        </w:rPr>
        <w:t>Attraction individuelle vers le groupe</w:t>
      </w:r>
      <w:r>
        <w:rPr>
          <w:color w:val="000000"/>
        </w:rPr>
        <w:t> : ensemble des sentiments individuels des sujets à l’égard du groupe</w:t>
      </w:r>
    </w:p>
    <w:p w14:paraId="210DE0DA" w14:textId="77777777" w:rsidR="003F5909" w:rsidRDefault="00000000">
      <w:pPr>
        <w:numPr>
          <w:ilvl w:val="0"/>
          <w:numId w:val="1"/>
        </w:numPr>
        <w:pBdr>
          <w:top w:val="nil"/>
          <w:left w:val="nil"/>
          <w:bottom w:val="nil"/>
          <w:right w:val="nil"/>
          <w:between w:val="nil"/>
        </w:pBdr>
        <w:spacing w:after="0"/>
      </w:pPr>
      <w:r>
        <w:rPr>
          <w:color w:val="000000"/>
        </w:rPr>
        <w:t>Orientation ou motivation globale</w:t>
      </w:r>
    </w:p>
    <w:p w14:paraId="2C77D3BB" w14:textId="77777777" w:rsidR="003F5909" w:rsidRDefault="00000000">
      <w:pPr>
        <w:numPr>
          <w:ilvl w:val="1"/>
          <w:numId w:val="1"/>
        </w:numPr>
        <w:pBdr>
          <w:top w:val="nil"/>
          <w:left w:val="nil"/>
          <w:bottom w:val="nil"/>
          <w:right w:val="nil"/>
          <w:between w:val="nil"/>
        </w:pBdr>
        <w:spacing w:after="0"/>
      </w:pPr>
      <w:r>
        <w:rPr>
          <w:color w:val="2F5496"/>
        </w:rPr>
        <w:t>Sociale </w:t>
      </w:r>
      <w:r>
        <w:rPr>
          <w:color w:val="000000"/>
        </w:rPr>
        <w:t xml:space="preserve">: tournée vers le </w:t>
      </w:r>
      <w:r>
        <w:rPr>
          <w:i/>
          <w:color w:val="C55911"/>
          <w:sz w:val="20"/>
          <w:szCs w:val="20"/>
        </w:rPr>
        <w:t>développement et le maintien</w:t>
      </w:r>
      <w:r>
        <w:rPr>
          <w:color w:val="000000"/>
        </w:rPr>
        <w:t xml:space="preserve"> du groupe</w:t>
      </w:r>
    </w:p>
    <w:p w14:paraId="0C0270D2" w14:textId="77777777" w:rsidR="003F5909" w:rsidRDefault="00000000">
      <w:pPr>
        <w:numPr>
          <w:ilvl w:val="1"/>
          <w:numId w:val="1"/>
        </w:numPr>
        <w:pBdr>
          <w:top w:val="nil"/>
          <w:left w:val="nil"/>
          <w:bottom w:val="nil"/>
          <w:right w:val="nil"/>
          <w:between w:val="nil"/>
        </w:pBdr>
      </w:pPr>
      <w:r>
        <w:rPr>
          <w:color w:val="2F5496"/>
        </w:rPr>
        <w:t>Opératoire </w:t>
      </w:r>
      <w:r>
        <w:rPr>
          <w:color w:val="000000"/>
        </w:rPr>
        <w:t xml:space="preserve">: tournée vers la </w:t>
      </w:r>
      <w:r>
        <w:rPr>
          <w:i/>
          <w:color w:val="C55911"/>
          <w:sz w:val="20"/>
          <w:szCs w:val="20"/>
        </w:rPr>
        <w:t>réalisation des buts et objectifs</w:t>
      </w:r>
      <w:r>
        <w:rPr>
          <w:color w:val="000000"/>
        </w:rPr>
        <w:t xml:space="preserve"> du groupe</w:t>
      </w:r>
    </w:p>
    <w:p w14:paraId="54AEF17E" w14:textId="77777777" w:rsidR="003F5909" w:rsidRDefault="00000000">
      <w:r>
        <w:rPr>
          <w:noProof/>
        </w:rPr>
        <w:drawing>
          <wp:inline distT="0" distB="0" distL="0" distR="0" wp14:anchorId="56735A5F" wp14:editId="225EC20F">
            <wp:extent cx="5730737" cy="5159187"/>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730737" cy="5159187"/>
                    </a:xfrm>
                    <a:prstGeom prst="rect">
                      <a:avLst/>
                    </a:prstGeom>
                    <a:ln/>
                  </pic:spPr>
                </pic:pic>
              </a:graphicData>
            </a:graphic>
          </wp:inline>
        </w:drawing>
      </w:r>
    </w:p>
    <w:sectPr w:rsidR="003F5909">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BB376BB5-2E36-45EF-B548-99CC38B875C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6A581B7-C9BA-45A6-903E-EE2CA82ADC71}"/>
    <w:embedBold r:id="rId3" w:fontKey="{8D7CBAE2-8FF2-4061-8BE7-910BF24B4391}"/>
    <w:embedItalic r:id="rId4" w:fontKey="{1476EC9F-2907-4E61-A2DC-02D36149CE64}"/>
    <w:embedBoldItalic r:id="rId5" w:fontKey="{7FDA0364-DF05-44FE-B9E5-DD3C2CD5B43E}"/>
  </w:font>
  <w:font w:name="Calibri Light">
    <w:panose1 w:val="020F0302020204030204"/>
    <w:charset w:val="00"/>
    <w:family w:val="swiss"/>
    <w:pitch w:val="variable"/>
    <w:sig w:usb0="E4002EFF" w:usb1="C200247B" w:usb2="00000009" w:usb3="00000000" w:csb0="000001FF" w:csb1="00000000"/>
    <w:embedRegular r:id="rId6" w:fontKey="{19FF12EB-D3EC-4B1D-BD69-A4B8318CE705}"/>
    <w:embedItalic r:id="rId7" w:fontKey="{FC482834-088F-489A-84A2-1AB2E40C69CF}"/>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106B6"/>
    <w:multiLevelType w:val="multilevel"/>
    <w:tmpl w:val="41F48F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A6799C"/>
    <w:multiLevelType w:val="multilevel"/>
    <w:tmpl w:val="4AB6B6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9A46948"/>
    <w:multiLevelType w:val="multilevel"/>
    <w:tmpl w:val="82045E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E901609"/>
    <w:multiLevelType w:val="multilevel"/>
    <w:tmpl w:val="06542C9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4B83587"/>
    <w:multiLevelType w:val="multilevel"/>
    <w:tmpl w:val="5CACB4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42409025">
    <w:abstractNumId w:val="2"/>
  </w:num>
  <w:num w:numId="2" w16cid:durableId="533421355">
    <w:abstractNumId w:val="4"/>
  </w:num>
  <w:num w:numId="3" w16cid:durableId="1178808343">
    <w:abstractNumId w:val="1"/>
  </w:num>
  <w:num w:numId="4" w16cid:durableId="968127793">
    <w:abstractNumId w:val="3"/>
  </w:num>
  <w:num w:numId="5" w16cid:durableId="13698005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909"/>
    <w:rsid w:val="003F5909"/>
    <w:rsid w:val="004C5400"/>
    <w:rsid w:val="006956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12453"/>
  <w15:docId w15:val="{86C39188-AFF2-4995-91E9-B3D3A17B8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1"/>
        <w:szCs w:val="21"/>
        <w:lang w:val="fr-FR" w:eastAsia="fr-FR"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622"/>
  </w:style>
  <w:style w:type="paragraph" w:styleId="Titre1">
    <w:name w:val="heading 1"/>
    <w:basedOn w:val="Normal"/>
    <w:next w:val="Normal"/>
    <w:link w:val="Titre1Car"/>
    <w:uiPriority w:val="9"/>
    <w:qFormat/>
    <w:rsid w:val="00536622"/>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Titre2">
    <w:name w:val="heading 2"/>
    <w:basedOn w:val="Normal"/>
    <w:next w:val="Normal"/>
    <w:link w:val="Titre2Car"/>
    <w:uiPriority w:val="9"/>
    <w:unhideWhenUsed/>
    <w:qFormat/>
    <w:rsid w:val="00536622"/>
    <w:pPr>
      <w:keepNext/>
      <w:keepLines/>
      <w:spacing w:before="120" w:after="0" w:line="240" w:lineRule="auto"/>
      <w:outlineLvl w:val="1"/>
    </w:pPr>
    <w:rPr>
      <w:rFonts w:asciiTheme="majorHAnsi" w:eastAsiaTheme="majorEastAsia" w:hAnsiTheme="majorHAnsi" w:cstheme="majorBidi"/>
      <w:sz w:val="36"/>
      <w:szCs w:val="36"/>
    </w:rPr>
  </w:style>
  <w:style w:type="paragraph" w:styleId="Titre3">
    <w:name w:val="heading 3"/>
    <w:basedOn w:val="Normal"/>
    <w:next w:val="Normal"/>
    <w:link w:val="Titre3Car"/>
    <w:uiPriority w:val="9"/>
    <w:unhideWhenUsed/>
    <w:qFormat/>
    <w:rsid w:val="00536622"/>
    <w:pPr>
      <w:keepNext/>
      <w:keepLines/>
      <w:spacing w:before="80" w:after="0" w:line="240" w:lineRule="auto"/>
      <w:outlineLvl w:val="2"/>
    </w:pPr>
    <w:rPr>
      <w:rFonts w:asciiTheme="majorHAnsi" w:eastAsiaTheme="majorEastAsia" w:hAnsiTheme="majorHAnsi" w:cstheme="majorBidi"/>
      <w:caps/>
      <w:sz w:val="28"/>
      <w:szCs w:val="28"/>
    </w:rPr>
  </w:style>
  <w:style w:type="paragraph" w:styleId="Titre4">
    <w:name w:val="heading 4"/>
    <w:basedOn w:val="Normal"/>
    <w:next w:val="Normal"/>
    <w:link w:val="Titre4Car"/>
    <w:uiPriority w:val="9"/>
    <w:semiHidden/>
    <w:unhideWhenUsed/>
    <w:qFormat/>
    <w:rsid w:val="00536622"/>
    <w:pPr>
      <w:keepNext/>
      <w:keepLines/>
      <w:spacing w:before="80" w:after="0" w:line="240" w:lineRule="auto"/>
      <w:outlineLvl w:val="3"/>
    </w:pPr>
    <w:rPr>
      <w:rFonts w:asciiTheme="majorHAnsi" w:eastAsiaTheme="majorEastAsia" w:hAnsiTheme="majorHAnsi" w:cstheme="majorBidi"/>
      <w:i/>
      <w:iCs/>
      <w:sz w:val="28"/>
      <w:szCs w:val="28"/>
    </w:rPr>
  </w:style>
  <w:style w:type="paragraph" w:styleId="Titre5">
    <w:name w:val="heading 5"/>
    <w:basedOn w:val="Normal"/>
    <w:next w:val="Normal"/>
    <w:link w:val="Titre5Car"/>
    <w:uiPriority w:val="9"/>
    <w:semiHidden/>
    <w:unhideWhenUsed/>
    <w:qFormat/>
    <w:rsid w:val="00536622"/>
    <w:pPr>
      <w:keepNext/>
      <w:keepLines/>
      <w:spacing w:before="80" w:after="0" w:line="240" w:lineRule="auto"/>
      <w:outlineLvl w:val="4"/>
    </w:pPr>
    <w:rPr>
      <w:rFonts w:asciiTheme="majorHAnsi" w:eastAsiaTheme="majorEastAsia" w:hAnsiTheme="majorHAnsi" w:cstheme="majorBidi"/>
      <w:sz w:val="24"/>
      <w:szCs w:val="24"/>
    </w:rPr>
  </w:style>
  <w:style w:type="paragraph" w:styleId="Titre6">
    <w:name w:val="heading 6"/>
    <w:basedOn w:val="Normal"/>
    <w:next w:val="Normal"/>
    <w:link w:val="Titre6Car"/>
    <w:uiPriority w:val="9"/>
    <w:semiHidden/>
    <w:unhideWhenUsed/>
    <w:qFormat/>
    <w:rsid w:val="00536622"/>
    <w:pPr>
      <w:keepNext/>
      <w:keepLines/>
      <w:spacing w:before="80" w:after="0" w:line="240" w:lineRule="auto"/>
      <w:outlineLvl w:val="5"/>
    </w:pPr>
    <w:rPr>
      <w:rFonts w:asciiTheme="majorHAnsi" w:eastAsiaTheme="majorEastAsia" w:hAnsiTheme="majorHAnsi" w:cstheme="majorBidi"/>
      <w:i/>
      <w:iCs/>
      <w:sz w:val="24"/>
      <w:szCs w:val="24"/>
    </w:rPr>
  </w:style>
  <w:style w:type="paragraph" w:styleId="Titre7">
    <w:name w:val="heading 7"/>
    <w:basedOn w:val="Normal"/>
    <w:next w:val="Normal"/>
    <w:link w:val="Titre7Car"/>
    <w:uiPriority w:val="9"/>
    <w:semiHidden/>
    <w:unhideWhenUsed/>
    <w:qFormat/>
    <w:rsid w:val="00536622"/>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Titre8">
    <w:name w:val="heading 8"/>
    <w:basedOn w:val="Normal"/>
    <w:next w:val="Normal"/>
    <w:link w:val="Titre8Car"/>
    <w:uiPriority w:val="9"/>
    <w:semiHidden/>
    <w:unhideWhenUsed/>
    <w:qFormat/>
    <w:rsid w:val="00536622"/>
    <w:pPr>
      <w:keepNext/>
      <w:keepLines/>
      <w:spacing w:before="80" w:after="0" w:line="240" w:lineRule="auto"/>
      <w:outlineLvl w:val="7"/>
    </w:pPr>
    <w:rPr>
      <w:rFonts w:asciiTheme="majorHAnsi" w:eastAsiaTheme="majorEastAsia" w:hAnsiTheme="majorHAnsi" w:cstheme="majorBidi"/>
      <w:caps/>
    </w:rPr>
  </w:style>
  <w:style w:type="paragraph" w:styleId="Titre9">
    <w:name w:val="heading 9"/>
    <w:basedOn w:val="Normal"/>
    <w:next w:val="Normal"/>
    <w:link w:val="Titre9Car"/>
    <w:uiPriority w:val="9"/>
    <w:semiHidden/>
    <w:unhideWhenUsed/>
    <w:qFormat/>
    <w:rsid w:val="00536622"/>
    <w:pPr>
      <w:keepNext/>
      <w:keepLines/>
      <w:spacing w:before="80" w:after="0" w:line="240" w:lineRule="auto"/>
      <w:outlineLvl w:val="8"/>
    </w:pPr>
    <w:rPr>
      <w:rFonts w:asciiTheme="majorHAnsi" w:eastAsiaTheme="majorEastAsia" w:hAnsiTheme="majorHAnsi" w:cstheme="majorBidi"/>
      <w:i/>
      <w:iCs/>
      <w:cap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uiPriority w:val="10"/>
    <w:qFormat/>
    <w:rsid w:val="00536622"/>
    <w:pPr>
      <w:spacing w:after="0" w:line="240" w:lineRule="auto"/>
      <w:contextualSpacing/>
    </w:pPr>
    <w:rPr>
      <w:rFonts w:asciiTheme="majorHAnsi" w:eastAsiaTheme="majorEastAsia" w:hAnsiTheme="majorHAnsi" w:cstheme="majorBidi"/>
      <w:caps/>
      <w:spacing w:val="40"/>
      <w:sz w:val="76"/>
      <w:szCs w:val="76"/>
    </w:rPr>
  </w:style>
  <w:style w:type="character" w:customStyle="1" w:styleId="Titre2Car">
    <w:name w:val="Titre 2 Car"/>
    <w:basedOn w:val="Policepardfaut"/>
    <w:link w:val="Titre2"/>
    <w:uiPriority w:val="9"/>
    <w:rsid w:val="00536622"/>
    <w:rPr>
      <w:rFonts w:asciiTheme="majorHAnsi" w:eastAsiaTheme="majorEastAsia" w:hAnsiTheme="majorHAnsi" w:cstheme="majorBidi"/>
      <w:sz w:val="36"/>
      <w:szCs w:val="36"/>
    </w:rPr>
  </w:style>
  <w:style w:type="character" w:customStyle="1" w:styleId="Titre1Car">
    <w:name w:val="Titre 1 Car"/>
    <w:basedOn w:val="Policepardfaut"/>
    <w:link w:val="Titre1"/>
    <w:uiPriority w:val="9"/>
    <w:rsid w:val="00536622"/>
    <w:rPr>
      <w:rFonts w:asciiTheme="majorHAnsi" w:eastAsiaTheme="majorEastAsia" w:hAnsiTheme="majorHAnsi" w:cstheme="majorBidi"/>
      <w:caps/>
      <w:spacing w:val="10"/>
      <w:sz w:val="36"/>
      <w:szCs w:val="36"/>
    </w:rPr>
  </w:style>
  <w:style w:type="character" w:customStyle="1" w:styleId="TitreCar">
    <w:name w:val="Titre Car"/>
    <w:basedOn w:val="Policepardfaut"/>
    <w:link w:val="Titre"/>
    <w:uiPriority w:val="10"/>
    <w:rsid w:val="00536622"/>
    <w:rPr>
      <w:rFonts w:asciiTheme="majorHAnsi" w:eastAsiaTheme="majorEastAsia" w:hAnsiTheme="majorHAnsi" w:cstheme="majorBidi"/>
      <w:caps/>
      <w:spacing w:val="40"/>
      <w:sz w:val="76"/>
      <w:szCs w:val="76"/>
    </w:rPr>
  </w:style>
  <w:style w:type="character" w:styleId="Accentuation">
    <w:name w:val="Emphasis"/>
    <w:basedOn w:val="Policepardfaut"/>
    <w:uiPriority w:val="20"/>
    <w:qFormat/>
    <w:rsid w:val="00536622"/>
    <w:rPr>
      <w:rFonts w:asciiTheme="minorHAnsi" w:eastAsiaTheme="minorEastAsia" w:hAnsiTheme="minorHAnsi" w:cstheme="minorBidi"/>
      <w:i/>
      <w:iCs/>
      <w:color w:val="C45911" w:themeColor="accent2" w:themeShade="BF"/>
      <w:sz w:val="20"/>
      <w:szCs w:val="20"/>
    </w:rPr>
  </w:style>
  <w:style w:type="character" w:styleId="Accentuationintense">
    <w:name w:val="Intense Emphasis"/>
    <w:basedOn w:val="Policepardfaut"/>
    <w:uiPriority w:val="21"/>
    <w:qFormat/>
    <w:rsid w:val="00536622"/>
    <w:rPr>
      <w:rFonts w:asciiTheme="minorHAnsi" w:eastAsiaTheme="minorEastAsia" w:hAnsiTheme="minorHAnsi" w:cstheme="minorBidi"/>
      <w:b/>
      <w:bCs/>
      <w:i/>
      <w:iCs/>
      <w:color w:val="C45911" w:themeColor="accent2" w:themeShade="BF"/>
      <w:spacing w:val="0"/>
      <w:w w:val="100"/>
      <w:position w:val="0"/>
      <w:sz w:val="20"/>
      <w:szCs w:val="20"/>
    </w:rPr>
  </w:style>
  <w:style w:type="character" w:styleId="lev">
    <w:name w:val="Strong"/>
    <w:basedOn w:val="Policepardfaut"/>
    <w:uiPriority w:val="22"/>
    <w:qFormat/>
    <w:rsid w:val="00536622"/>
    <w:rPr>
      <w:rFonts w:asciiTheme="minorHAnsi" w:eastAsiaTheme="minorEastAsia" w:hAnsiTheme="minorHAnsi" w:cstheme="minorBidi"/>
      <w:b/>
      <w:bCs/>
      <w:spacing w:val="0"/>
      <w:w w:val="100"/>
      <w:position w:val="0"/>
      <w:sz w:val="20"/>
      <w:szCs w:val="20"/>
    </w:rPr>
  </w:style>
  <w:style w:type="character" w:customStyle="1" w:styleId="Titre3Car">
    <w:name w:val="Titre 3 Car"/>
    <w:basedOn w:val="Policepardfaut"/>
    <w:link w:val="Titre3"/>
    <w:uiPriority w:val="9"/>
    <w:rsid w:val="00536622"/>
    <w:rPr>
      <w:rFonts w:asciiTheme="majorHAnsi" w:eastAsiaTheme="majorEastAsia" w:hAnsiTheme="majorHAnsi" w:cstheme="majorBidi"/>
      <w:caps/>
      <w:sz w:val="28"/>
      <w:szCs w:val="28"/>
    </w:rPr>
  </w:style>
  <w:style w:type="character" w:customStyle="1" w:styleId="Titre4Car">
    <w:name w:val="Titre 4 Car"/>
    <w:basedOn w:val="Policepardfaut"/>
    <w:link w:val="Titre4"/>
    <w:uiPriority w:val="9"/>
    <w:semiHidden/>
    <w:rsid w:val="00536622"/>
    <w:rPr>
      <w:rFonts w:asciiTheme="majorHAnsi" w:eastAsiaTheme="majorEastAsia" w:hAnsiTheme="majorHAnsi" w:cstheme="majorBidi"/>
      <w:i/>
      <w:iCs/>
      <w:sz w:val="28"/>
      <w:szCs w:val="28"/>
    </w:rPr>
  </w:style>
  <w:style w:type="character" w:customStyle="1" w:styleId="Titre5Car">
    <w:name w:val="Titre 5 Car"/>
    <w:basedOn w:val="Policepardfaut"/>
    <w:link w:val="Titre5"/>
    <w:uiPriority w:val="9"/>
    <w:semiHidden/>
    <w:rsid w:val="00536622"/>
    <w:rPr>
      <w:rFonts w:asciiTheme="majorHAnsi" w:eastAsiaTheme="majorEastAsia" w:hAnsiTheme="majorHAnsi" w:cstheme="majorBidi"/>
      <w:sz w:val="24"/>
      <w:szCs w:val="24"/>
    </w:rPr>
  </w:style>
  <w:style w:type="character" w:customStyle="1" w:styleId="Titre6Car">
    <w:name w:val="Titre 6 Car"/>
    <w:basedOn w:val="Policepardfaut"/>
    <w:link w:val="Titre6"/>
    <w:uiPriority w:val="9"/>
    <w:semiHidden/>
    <w:rsid w:val="00536622"/>
    <w:rPr>
      <w:rFonts w:asciiTheme="majorHAnsi" w:eastAsiaTheme="majorEastAsia" w:hAnsiTheme="majorHAnsi" w:cstheme="majorBidi"/>
      <w:i/>
      <w:iCs/>
      <w:sz w:val="24"/>
      <w:szCs w:val="24"/>
    </w:rPr>
  </w:style>
  <w:style w:type="character" w:customStyle="1" w:styleId="Titre7Car">
    <w:name w:val="Titre 7 Car"/>
    <w:basedOn w:val="Policepardfaut"/>
    <w:link w:val="Titre7"/>
    <w:uiPriority w:val="9"/>
    <w:semiHidden/>
    <w:rsid w:val="00536622"/>
    <w:rPr>
      <w:rFonts w:asciiTheme="majorHAnsi" w:eastAsiaTheme="majorEastAsia" w:hAnsiTheme="majorHAnsi" w:cstheme="majorBidi"/>
      <w:color w:val="595959" w:themeColor="text1" w:themeTint="A6"/>
      <w:sz w:val="24"/>
      <w:szCs w:val="24"/>
    </w:rPr>
  </w:style>
  <w:style w:type="character" w:customStyle="1" w:styleId="Titre8Car">
    <w:name w:val="Titre 8 Car"/>
    <w:basedOn w:val="Policepardfaut"/>
    <w:link w:val="Titre8"/>
    <w:uiPriority w:val="9"/>
    <w:semiHidden/>
    <w:rsid w:val="00536622"/>
    <w:rPr>
      <w:rFonts w:asciiTheme="majorHAnsi" w:eastAsiaTheme="majorEastAsia" w:hAnsiTheme="majorHAnsi" w:cstheme="majorBidi"/>
      <w:caps/>
    </w:rPr>
  </w:style>
  <w:style w:type="character" w:customStyle="1" w:styleId="Titre9Car">
    <w:name w:val="Titre 9 Car"/>
    <w:basedOn w:val="Policepardfaut"/>
    <w:link w:val="Titre9"/>
    <w:uiPriority w:val="9"/>
    <w:semiHidden/>
    <w:rsid w:val="00536622"/>
    <w:rPr>
      <w:rFonts w:asciiTheme="majorHAnsi" w:eastAsiaTheme="majorEastAsia" w:hAnsiTheme="majorHAnsi" w:cstheme="majorBidi"/>
      <w:i/>
      <w:iCs/>
      <w:caps/>
    </w:rPr>
  </w:style>
  <w:style w:type="paragraph" w:styleId="Lgende">
    <w:name w:val="caption"/>
    <w:basedOn w:val="Normal"/>
    <w:next w:val="Normal"/>
    <w:uiPriority w:val="35"/>
    <w:semiHidden/>
    <w:unhideWhenUsed/>
    <w:qFormat/>
    <w:rsid w:val="00536622"/>
    <w:pPr>
      <w:spacing w:line="240" w:lineRule="auto"/>
    </w:pPr>
    <w:rPr>
      <w:b/>
      <w:bCs/>
      <w:color w:val="ED7D31" w:themeColor="accent2"/>
      <w:spacing w:val="10"/>
      <w:sz w:val="16"/>
      <w:szCs w:val="16"/>
    </w:rPr>
  </w:style>
  <w:style w:type="paragraph" w:styleId="Sous-titre">
    <w:name w:val="Subtitle"/>
    <w:basedOn w:val="Normal"/>
    <w:next w:val="Normal"/>
    <w:link w:val="Sous-titreCar"/>
    <w:uiPriority w:val="11"/>
    <w:qFormat/>
    <w:pPr>
      <w:spacing w:after="240"/>
    </w:pPr>
    <w:rPr>
      <w:color w:val="000000"/>
      <w:sz w:val="24"/>
      <w:szCs w:val="24"/>
    </w:rPr>
  </w:style>
  <w:style w:type="character" w:customStyle="1" w:styleId="Sous-titreCar">
    <w:name w:val="Sous-titre Car"/>
    <w:basedOn w:val="Policepardfaut"/>
    <w:link w:val="Sous-titre"/>
    <w:uiPriority w:val="11"/>
    <w:rsid w:val="00536622"/>
    <w:rPr>
      <w:color w:val="000000" w:themeColor="text1"/>
      <w:sz w:val="24"/>
      <w:szCs w:val="24"/>
    </w:rPr>
  </w:style>
  <w:style w:type="paragraph" w:styleId="Sansinterligne">
    <w:name w:val="No Spacing"/>
    <w:uiPriority w:val="1"/>
    <w:qFormat/>
    <w:rsid w:val="00536622"/>
    <w:pPr>
      <w:spacing w:after="0" w:line="240" w:lineRule="auto"/>
    </w:pPr>
  </w:style>
  <w:style w:type="paragraph" w:styleId="Citation">
    <w:name w:val="Quote"/>
    <w:basedOn w:val="Normal"/>
    <w:next w:val="Normal"/>
    <w:link w:val="CitationCar"/>
    <w:uiPriority w:val="29"/>
    <w:qFormat/>
    <w:rsid w:val="00536622"/>
    <w:pPr>
      <w:spacing w:before="160"/>
      <w:ind w:left="720"/>
    </w:pPr>
    <w:rPr>
      <w:rFonts w:asciiTheme="majorHAnsi" w:eastAsiaTheme="majorEastAsia" w:hAnsiTheme="majorHAnsi" w:cstheme="majorBidi"/>
      <w:sz w:val="24"/>
      <w:szCs w:val="24"/>
    </w:rPr>
  </w:style>
  <w:style w:type="character" w:customStyle="1" w:styleId="CitationCar">
    <w:name w:val="Citation Car"/>
    <w:basedOn w:val="Policepardfaut"/>
    <w:link w:val="Citation"/>
    <w:uiPriority w:val="29"/>
    <w:rsid w:val="00536622"/>
    <w:rPr>
      <w:rFonts w:asciiTheme="majorHAnsi" w:eastAsiaTheme="majorEastAsia" w:hAnsiTheme="majorHAnsi" w:cstheme="majorBidi"/>
      <w:sz w:val="24"/>
      <w:szCs w:val="24"/>
    </w:rPr>
  </w:style>
  <w:style w:type="paragraph" w:styleId="Citationintense">
    <w:name w:val="Intense Quote"/>
    <w:basedOn w:val="Normal"/>
    <w:next w:val="Normal"/>
    <w:link w:val="CitationintenseCar"/>
    <w:uiPriority w:val="30"/>
    <w:qFormat/>
    <w:rsid w:val="00536622"/>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CitationintenseCar">
    <w:name w:val="Citation intense Car"/>
    <w:basedOn w:val="Policepardfaut"/>
    <w:link w:val="Citationintense"/>
    <w:uiPriority w:val="30"/>
    <w:rsid w:val="00536622"/>
    <w:rPr>
      <w:rFonts w:asciiTheme="majorHAnsi" w:eastAsiaTheme="majorEastAsia" w:hAnsiTheme="majorHAnsi" w:cstheme="majorBidi"/>
      <w:caps/>
      <w:color w:val="C45911" w:themeColor="accent2" w:themeShade="BF"/>
      <w:spacing w:val="10"/>
      <w:sz w:val="28"/>
      <w:szCs w:val="28"/>
    </w:rPr>
  </w:style>
  <w:style w:type="character" w:styleId="Accentuationlgre">
    <w:name w:val="Subtle Emphasis"/>
    <w:basedOn w:val="Policepardfaut"/>
    <w:uiPriority w:val="19"/>
    <w:qFormat/>
    <w:rsid w:val="00536622"/>
    <w:rPr>
      <w:i/>
      <w:iCs/>
      <w:color w:val="auto"/>
    </w:rPr>
  </w:style>
  <w:style w:type="character" w:styleId="Rfrencelgre">
    <w:name w:val="Subtle Reference"/>
    <w:basedOn w:val="Policepardfaut"/>
    <w:uiPriority w:val="31"/>
    <w:qFormat/>
    <w:rsid w:val="00536622"/>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Rfrenceintense">
    <w:name w:val="Intense Reference"/>
    <w:basedOn w:val="Policepardfaut"/>
    <w:uiPriority w:val="32"/>
    <w:qFormat/>
    <w:rsid w:val="00536622"/>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Titredulivre">
    <w:name w:val="Book Title"/>
    <w:basedOn w:val="Policepardfaut"/>
    <w:uiPriority w:val="33"/>
    <w:qFormat/>
    <w:rsid w:val="00536622"/>
    <w:rPr>
      <w:rFonts w:asciiTheme="minorHAnsi" w:eastAsiaTheme="minorEastAsia" w:hAnsiTheme="minorHAnsi" w:cstheme="minorBidi"/>
      <w:b/>
      <w:bCs/>
      <w:i/>
      <w:iCs/>
      <w:caps w:val="0"/>
      <w:smallCaps w:val="0"/>
      <w:color w:val="auto"/>
      <w:spacing w:val="10"/>
      <w:w w:val="100"/>
      <w:sz w:val="20"/>
      <w:szCs w:val="20"/>
    </w:rPr>
  </w:style>
  <w:style w:type="paragraph" w:styleId="En-ttedetabledesmatires">
    <w:name w:val="TOC Heading"/>
    <w:basedOn w:val="Titre1"/>
    <w:next w:val="Normal"/>
    <w:uiPriority w:val="39"/>
    <w:semiHidden/>
    <w:unhideWhenUsed/>
    <w:qFormat/>
    <w:rsid w:val="00536622"/>
    <w:pPr>
      <w:outlineLvl w:val="9"/>
    </w:pPr>
  </w:style>
  <w:style w:type="paragraph" w:styleId="Paragraphedeliste">
    <w:name w:val="List Paragraph"/>
    <w:basedOn w:val="Normal"/>
    <w:uiPriority w:val="34"/>
    <w:qFormat/>
    <w:rsid w:val="00FF43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dYghe/G9+aA63o39ZXi6b/pqYw==">CgMxLjA4AHIhMTQ0WUNHUmc4bXh3Mm9aaGZJOGRfeU5yTXhoSGJzWTZW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1135</Words>
  <Characters>6246</Characters>
  <Application>Microsoft Office Word</Application>
  <DocSecurity>0</DocSecurity>
  <Lines>52</Lines>
  <Paragraphs>14</Paragraphs>
  <ScaleCrop>false</ScaleCrop>
  <Company/>
  <LinksUpToDate>false</LinksUpToDate>
  <CharactersWithSpaces>7367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roro2</dc:creator>
  <cp:lastModifiedBy>roro210404@gmail.com</cp:lastModifiedBy>
  <cp:revision>2</cp:revision>
  <dcterms:created xsi:type="dcterms:W3CDTF">2024-02-04T11:25:00Z</dcterms:created>
  <dcterms:modified xsi:type="dcterms:W3CDTF">2024-07-11T10:27:00Z</dcterms:modified>
</cp:coreProperties>
</file>