
<file path=[Content_Types].xml><?xml version="1.0" encoding="utf-8"?>
<Types xmlns="http://schemas.openxmlformats.org/package/2006/content-types">
  <Default Extension="gif" ContentType="image/gif"/>
  <Default Extension="svg" ContentType="image/svg+xml"/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717"/>
        <w:pBdr/>
        <w:spacing/>
        <w:ind/>
        <w:jc w:val="both"/>
        <w:rPr/>
      </w:pPr>
      <w:r>
        <w:t xml:space="preserve">Régulation hormonale de l’exercice</w:t>
      </w:r>
      <w:r/>
    </w:p>
    <w:p>
      <w:pPr>
        <w:pStyle w:val="718"/>
        <w:pBdr/>
        <w:spacing/>
        <w:ind/>
        <w:jc w:val="both"/>
        <w:rPr>
          <w:highlight w:val="none"/>
        </w:rPr>
      </w:pPr>
      <w:r>
        <w:rPr>
          <w:highlight w:val="none"/>
        </w:rPr>
        <w:t xml:space="preserve">Le système endocrinien</w:t>
      </w:r>
      <w:r>
        <w:rPr>
          <w:highlight w:val="none"/>
        </w:rPr>
      </w:r>
    </w:p>
    <w:p>
      <w:pPr>
        <w:pBdr/>
        <w:spacing/>
        <w:ind/>
        <w:jc w:val="both"/>
        <w:rPr/>
      </w:pPr>
      <w:r>
        <w:rPr>
          <w:highlight w:val="none"/>
        </w:rPr>
        <w:t xml:space="preserve">Plusieurs glandes endocrines, hypothalamus, hypophyse, thyroïde, parathyroïde, thymus, surrénales, pancréas</w:t>
      </w:r>
      <w:r>
        <w:t xml:space="preserve">, reins, tissu adipeux, ovaires, testicules.</w:t>
      </w:r>
      <w:r/>
    </w:p>
    <w:p>
      <w:pPr>
        <w:pBdr/>
        <w:spacing/>
        <w:ind/>
        <w:jc w:val="both"/>
        <w:rPr/>
      </w:pPr>
      <w:r>
        <w:t xml:space="preserve">Une glande est un organe ou groupement de cellules spécialisées dans la synthèse et la sécrétion de substances chimiques dotées de propriétés particulières. 3 types : </w:t>
      </w:r>
      <w:r/>
    </w:p>
    <w:p>
      <w:pPr>
        <w:pStyle w:val="756"/>
        <w:numPr>
          <w:ilvl w:val="0"/>
          <w:numId w:val="18"/>
        </w:numPr>
        <w:pBdr/>
        <w:spacing/>
        <w:ind/>
        <w:jc w:val="both"/>
        <w:rPr/>
      </w:pPr>
      <w:r>
        <w:t xml:space="preserve">Glandes </w:t>
      </w:r>
      <w:r>
        <w:rPr>
          <w:rStyle w:val="734"/>
        </w:rPr>
        <w:t xml:space="preserve">exocrines</w:t>
      </w:r>
      <w:r/>
    </w:p>
    <w:p>
      <w:pPr>
        <w:pStyle w:val="756"/>
        <w:numPr>
          <w:ilvl w:val="1"/>
          <w:numId w:val="18"/>
        </w:numPr>
        <w:pBdr/>
        <w:spacing/>
        <w:ind/>
        <w:jc w:val="both"/>
        <w:rPr/>
      </w:pPr>
      <w:r>
        <w:t xml:space="preserve">Canaux excréteurs : libère du produit de sécrétion hors de l’organisme (glande salivaire, sudoripares…)</w:t>
      </w:r>
      <w:r/>
    </w:p>
    <w:p>
      <w:pPr>
        <w:pStyle w:val="756"/>
        <w:numPr>
          <w:ilvl w:val="0"/>
          <w:numId w:val="18"/>
        </w:numPr>
        <w:pBdr/>
        <w:spacing/>
        <w:ind/>
        <w:jc w:val="both"/>
        <w:rPr/>
      </w:pPr>
      <w:r>
        <w:t xml:space="preserve">Glandes </w:t>
      </w:r>
      <w:r>
        <w:rPr>
          <w:rStyle w:val="734"/>
        </w:rPr>
        <w:t xml:space="preserve">endocrines</w:t>
      </w:r>
      <w:r/>
    </w:p>
    <w:p>
      <w:pPr>
        <w:pStyle w:val="756"/>
        <w:numPr>
          <w:ilvl w:val="1"/>
          <w:numId w:val="18"/>
        </w:numPr>
        <w:pBdr/>
        <w:spacing/>
        <w:ind/>
        <w:jc w:val="both"/>
        <w:rPr/>
      </w:pPr>
      <w:r>
        <w:t xml:space="preserve">Libère des hormones dans le sang qui irrigue la glande (neurohypophyse, surrénales…)</w:t>
      </w:r>
      <w:r/>
    </w:p>
    <w:p>
      <w:pPr>
        <w:pStyle w:val="756"/>
        <w:numPr>
          <w:ilvl w:val="0"/>
          <w:numId w:val="18"/>
        </w:numPr>
        <w:pBdr/>
        <w:spacing/>
        <w:ind/>
        <w:jc w:val="both"/>
        <w:rPr/>
      </w:pPr>
      <w:r>
        <w:t xml:space="preserve">Glandes </w:t>
      </w:r>
      <w:r>
        <w:rPr>
          <w:rStyle w:val="734"/>
        </w:rPr>
        <w:t xml:space="preserve">mixtes</w:t>
      </w:r>
      <w:r/>
    </w:p>
    <w:p>
      <w:pPr>
        <w:pStyle w:val="756"/>
        <w:numPr>
          <w:ilvl w:val="1"/>
          <w:numId w:val="18"/>
        </w:numPr>
        <w:pBdr/>
        <w:spacing/>
        <w:ind/>
        <w:jc w:val="both"/>
        <w:rPr/>
      </w:pPr>
      <w:r>
        <w:t xml:space="preserve">Amphicrines, les deux à la fois (pancréas, gonades)</w:t>
      </w:r>
      <w:r/>
    </w:p>
    <w:p>
      <w:pPr>
        <w:pBdr/>
        <w:spacing/>
        <w:ind/>
        <w:jc w:val="both"/>
        <w:rPr/>
      </w:pPr>
      <w:r>
        <w:t xml:space="preserve">Plusieurs modes de sécrétion :</w:t>
      </w:r>
      <w:r/>
    </w:p>
    <w:p>
      <w:pPr>
        <w:pStyle w:val="756"/>
        <w:numPr>
          <w:ilvl w:val="0"/>
          <w:numId w:val="26"/>
        </w:numPr>
        <w:pBdr/>
        <w:spacing/>
        <w:ind/>
        <w:jc w:val="both"/>
        <w:rPr/>
      </w:pPr>
      <w:r>
        <w:t xml:space="preserve">Sécrétions </w:t>
      </w:r>
      <w:r>
        <w:rPr>
          <w:rStyle w:val="734"/>
        </w:rPr>
        <w:t xml:space="preserve">autocrines</w:t>
      </w:r>
      <w:r>
        <w:t xml:space="preserve"> : l’hormone agit directement sur la glande endocrine (l’insuline sur le pancréas)</w:t>
      </w:r>
      <w:r/>
    </w:p>
    <w:p>
      <w:pPr>
        <w:pStyle w:val="756"/>
        <w:numPr>
          <w:ilvl w:val="0"/>
          <w:numId w:val="26"/>
        </w:numPr>
        <w:pBdr/>
        <w:spacing/>
        <w:ind/>
        <w:jc w:val="both"/>
        <w:rPr/>
      </w:pPr>
      <w:r>
        <w:t xml:space="preserve">Sécrétions </w:t>
      </w:r>
      <w:r>
        <w:rPr>
          <w:rStyle w:val="734"/>
        </w:rPr>
        <w:t xml:space="preserve">paracrines</w:t>
      </w:r>
      <w:r>
        <w:t xml:space="preserve"> : l’hormone agit dès sa sécrétion dans l’espace intercellulaire du même tissu (l’insuline inhibe la sécrétion du glucagon)</w:t>
      </w:r>
      <w:r/>
    </w:p>
    <w:p>
      <w:pPr>
        <w:pStyle w:val="756"/>
        <w:numPr>
          <w:ilvl w:val="0"/>
          <w:numId w:val="26"/>
        </w:numPr>
        <w:pBdr/>
        <w:spacing/>
        <w:ind/>
        <w:jc w:val="both"/>
        <w:rPr/>
      </w:pPr>
      <w:r>
        <w:t xml:space="preserve">Sécrétions </w:t>
      </w:r>
      <w:r>
        <w:rPr>
          <w:rStyle w:val="734"/>
        </w:rPr>
        <w:t xml:space="preserve">neurocrines</w:t>
      </w:r>
      <w:r>
        <w:t xml:space="preserve"> : l’hormone agit sur les cellules nerveuses environnantes (la gonadotrophine sur l’hypophyse)</w:t>
      </w:r>
      <w:r/>
    </w:p>
    <w:p>
      <w:pPr>
        <w:pStyle w:val="719"/>
        <w:pBdr/>
        <w:spacing/>
        <w:ind/>
        <w:jc w:val="both"/>
        <w:rPr/>
      </w:pPr>
      <w:r>
        <w:t xml:space="preserve">Classification chimique des hormones</w:t>
      </w:r>
      <w:r/>
    </w:p>
    <w:p>
      <w:pPr>
        <w:pBdr/>
        <w:spacing/>
        <w:ind/>
        <w:rPr/>
      </w:pPr>
      <w:r>
        <w:t xml:space="preserve">3 caractéristiques des hormones : </w:t>
      </w:r>
      <w:r/>
    </w:p>
    <w:p>
      <w:pPr>
        <w:pStyle w:val="756"/>
        <w:numPr>
          <w:ilvl w:val="0"/>
          <w:numId w:val="19"/>
        </w:numPr>
        <w:pBdr/>
        <w:spacing/>
        <w:ind/>
        <w:rPr/>
      </w:pPr>
      <w:r>
        <w:t xml:space="preserve">Véhiculée en très faible concentration par le sang, dans tout l’organisme</w:t>
      </w:r>
      <w:r/>
    </w:p>
    <w:p>
      <w:pPr>
        <w:pStyle w:val="756"/>
        <w:numPr>
          <w:ilvl w:val="0"/>
          <w:numId w:val="19"/>
        </w:numPr>
        <w:pBdr/>
        <w:spacing/>
        <w:ind/>
        <w:rPr/>
      </w:pPr>
      <w:r>
        <w:t xml:space="preserve">Agit à distance des cellules qui la sécrètent</w:t>
      </w:r>
      <w:r/>
    </w:p>
    <w:p>
      <w:pPr>
        <w:pStyle w:val="756"/>
        <w:numPr>
          <w:ilvl w:val="0"/>
          <w:numId w:val="19"/>
        </w:numPr>
        <w:pBdr/>
        <w:spacing/>
        <w:ind/>
        <w:rPr/>
      </w:pPr>
      <w:r>
        <w:t xml:space="preserve">Reconnue par des cellules-organes cibles qui répondent de façon spécifique</w:t>
      </w:r>
      <w:r/>
    </w:p>
    <w:p>
      <w:pPr>
        <w:pBdr/>
        <w:spacing/>
        <w:ind/>
        <w:jc w:val="both"/>
        <w:rPr/>
      </w:pPr>
      <w:r>
        <w:t xml:space="preserve">Hormones </w:t>
      </w:r>
      <w:r>
        <w:rPr>
          <w:rStyle w:val="734"/>
        </w:rPr>
        <w:t xml:space="preserve">Liposolubles</w:t>
      </w:r>
      <w:r/>
    </w:p>
    <w:p>
      <w:pPr>
        <w:pStyle w:val="756"/>
        <w:numPr>
          <w:ilvl w:val="0"/>
          <w:numId w:val="2"/>
        </w:numPr>
        <w:pBdr/>
        <w:spacing/>
        <w:ind/>
        <w:jc w:val="both"/>
        <w:rPr/>
      </w:pPr>
      <w:r>
        <w:t xml:space="preserve">Dérivée du </w:t>
      </w:r>
      <w:r>
        <w:rPr>
          <w:rStyle w:val="733"/>
        </w:rPr>
        <w:t xml:space="preserve">cholestérol</w:t>
      </w:r>
      <w:r/>
    </w:p>
    <w:p>
      <w:pPr>
        <w:pStyle w:val="756"/>
        <w:numPr>
          <w:ilvl w:val="0"/>
          <w:numId w:val="2"/>
        </w:numPr>
        <w:pBdr/>
        <w:spacing/>
        <w:ind/>
        <w:jc w:val="both"/>
        <w:rPr/>
      </w:pPr>
      <w:r>
        <w:rPr>
          <w:rStyle w:val="733"/>
        </w:rPr>
        <w:t xml:space="preserve">Liposoluble</w:t>
      </w:r>
      <w:r>
        <w:t xml:space="preserve"> : diffuse facilement à travers les membranes cellulaires</w:t>
      </w:r>
      <w:r/>
    </w:p>
    <w:p>
      <w:pPr>
        <w:pStyle w:val="756"/>
        <w:numPr>
          <w:ilvl w:val="0"/>
          <w:numId w:val="2"/>
        </w:numPr>
        <w:pBdr/>
        <w:spacing/>
        <w:ind/>
        <w:jc w:val="both"/>
        <w:rPr/>
      </w:pPr>
      <w:r>
        <w:t xml:space="preserve">Sécrétées par</w:t>
      </w:r>
      <w:r/>
    </w:p>
    <w:p>
      <w:pPr>
        <w:pStyle w:val="756"/>
        <w:numPr>
          <w:ilvl w:val="1"/>
          <w:numId w:val="2"/>
        </w:numPr>
        <w:pBdr/>
        <w:spacing/>
        <w:ind/>
        <w:jc w:val="both"/>
        <w:rPr/>
      </w:pPr>
      <w:r>
        <w:rPr>
          <w:rStyle w:val="733"/>
        </w:rPr>
        <w:t xml:space="preserve">Cortex surrénaliens</w:t>
      </w:r>
      <w:r>
        <w:t xml:space="preserve"> (cortisol, aldostérone)</w:t>
      </w:r>
      <w:r/>
    </w:p>
    <w:p>
      <w:pPr>
        <w:pStyle w:val="756"/>
        <w:numPr>
          <w:ilvl w:val="1"/>
          <w:numId w:val="2"/>
        </w:numPr>
        <w:pBdr/>
        <w:spacing/>
        <w:ind/>
        <w:jc w:val="both"/>
        <w:rPr/>
      </w:pPr>
      <w:r>
        <w:rPr>
          <w:rStyle w:val="733"/>
        </w:rPr>
        <w:t xml:space="preserve">Ovaire</w:t>
      </w:r>
      <w:r>
        <w:t xml:space="preserve"> et </w:t>
      </w:r>
      <w:r>
        <w:rPr>
          <w:rStyle w:val="733"/>
        </w:rPr>
        <w:t xml:space="preserve">placenta</w:t>
      </w:r>
      <w:r>
        <w:t xml:space="preserve"> (œstrogènes et progestérone)</w:t>
      </w:r>
      <w:r/>
    </w:p>
    <w:p>
      <w:pPr>
        <w:pStyle w:val="756"/>
        <w:numPr>
          <w:ilvl w:val="1"/>
          <w:numId w:val="2"/>
        </w:numPr>
        <w:pBdr/>
        <w:spacing/>
        <w:ind/>
        <w:jc w:val="both"/>
        <w:rPr/>
      </w:pPr>
      <w:r>
        <w:rPr>
          <w:rStyle w:val="733"/>
        </w:rPr>
        <w:t xml:space="preserve">Testicules</w:t>
      </w:r>
      <w:r>
        <w:t xml:space="preserve"> (testostérone)</w:t>
      </w:r>
      <w:r/>
    </w:p>
    <w:p>
      <w:pPr>
        <w:pStyle w:val="756"/>
        <w:numPr>
          <w:ilvl w:val="0"/>
          <w:numId w:val="2"/>
        </w:numPr>
        <w:pBdr/>
        <w:spacing/>
        <w:ind/>
        <w:jc w:val="both"/>
        <w:rPr/>
      </w:pPr>
      <w:r>
        <w:rPr>
          <w:rStyle w:val="733"/>
        </w:rPr>
        <w:t xml:space="preserve">Ou </w:t>
      </w:r>
      <w:r>
        <w:t xml:space="preserve">dérivée d’acide aminé </w:t>
      </w:r>
      <w:r>
        <w:rPr>
          <w:rStyle w:val="733"/>
        </w:rPr>
        <w:t xml:space="preserve">(thyroxine et triiodothyronine)</w:t>
      </w:r>
      <w:r/>
    </w:p>
    <w:p>
      <w:pPr>
        <w:pBdr/>
        <w:spacing/>
        <w:ind/>
        <w:jc w:val="both"/>
        <w:rPr/>
      </w:pPr>
      <w:r>
        <w:t xml:space="preserve">Hormones </w:t>
      </w:r>
      <w:r>
        <w:rPr>
          <w:rStyle w:val="734"/>
        </w:rPr>
        <w:t xml:space="preserve">hydrosolubles</w:t>
      </w:r>
      <w:r>
        <w:t xml:space="preserve"> se subdivise</w:t>
      </w:r>
      <w:r>
        <w:t xml:space="preserve">nt</w:t>
      </w:r>
      <w:r>
        <w:t xml:space="preserve"> en deux groupes : les </w:t>
      </w:r>
      <w:r>
        <w:rPr>
          <w:rStyle w:val="733"/>
        </w:rPr>
        <w:t xml:space="preserve">hormones dérivées des acides aminés</w:t>
      </w:r>
      <w:r>
        <w:t xml:space="preserve"> (</w:t>
      </w:r>
      <w:r>
        <w:t xml:space="preserve">catécholamines, mélatonine, sérotonine)</w:t>
      </w:r>
      <w:r>
        <w:t xml:space="preserve"> et les </w:t>
      </w:r>
      <w:r>
        <w:rPr>
          <w:rStyle w:val="733"/>
        </w:rPr>
        <w:t xml:space="preserve">peptidiques ou protéiques</w:t>
      </w:r>
      <w:r>
        <w:t xml:space="preserve"> (</w:t>
      </w:r>
      <w:r>
        <w:t xml:space="preserve">ADH, ocytocine, EPO…</w:t>
      </w:r>
      <w:r>
        <w:t xml:space="preserve">)</w:t>
      </w:r>
      <w:r/>
    </w:p>
    <w:p>
      <w:pPr>
        <w:pBdr/>
        <w:spacing/>
        <w:ind/>
        <w:jc w:val="both"/>
        <w:rPr/>
      </w:pPr>
      <w:r>
        <w:t xml:space="preserve">La structure chimique de l’hormone détermine son mécanisme d’action ainsi que la cellule et l’organe cible</w:t>
      </w:r>
      <w:r/>
    </w:p>
    <w:p>
      <w:pPr>
        <w:pBdr/>
        <w:spacing/>
        <w:ind/>
        <w:jc w:val="both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0720" cy="4650740"/>
                <wp:effectExtent l="0" t="0" r="0" b="0"/>
                <wp:docPr id="1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760720" cy="465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53.60pt;height:366.2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/>
    </w:p>
    <w:p>
      <w:pPr>
        <w:pStyle w:val="719"/>
        <w:pBdr/>
        <w:spacing/>
        <w:ind/>
        <w:jc w:val="both"/>
        <w:rPr/>
      </w:pPr>
      <w:r>
        <w:t xml:space="preserve">Sécrétions hormonales et concentration plasmique</w:t>
      </w:r>
      <w:r/>
    </w:p>
    <w:p>
      <w:pPr>
        <w:pBdr/>
        <w:spacing/>
        <w:ind/>
        <w:jc w:val="both"/>
        <w:rPr/>
      </w:pPr>
      <w:r>
        <w:t xml:space="preserve">Les sécrétions sont libérées de manière pulsatile</w:t>
      </w:r>
      <w:r/>
    </w:p>
    <w:p>
      <w:pPr>
        <w:pBdr/>
        <w:spacing/>
        <w:ind/>
        <w:jc w:val="both"/>
        <w:rPr/>
      </w:pPr>
      <w:r>
        <w:t xml:space="preserve">Arrêt de sécrétion par </w:t>
      </w:r>
      <w:r>
        <w:rPr>
          <w:rStyle w:val="733"/>
        </w:rPr>
        <w:t xml:space="preserve">feedback négatif</w:t>
      </w:r>
      <w:r>
        <w:t xml:space="preserve"> (ex : insuline arrête d’être produite quand le taux sanguin devient normal)</w:t>
      </w:r>
      <w:r/>
    </w:p>
    <w:p>
      <w:pPr>
        <w:pBdr/>
        <w:spacing/>
        <w:ind/>
        <w:jc w:val="both"/>
        <w:rPr/>
      </w:pPr>
      <w:r>
        <w:t xml:space="preserve">Désensibilisation possible aux hormones comme les personnes résistantes à l’insuline : </w:t>
      </w:r>
      <w:r>
        <w:rPr>
          <w:rStyle w:val="734"/>
        </w:rPr>
        <w:t xml:space="preserve">down-regulation</w:t>
      </w:r>
      <w:r>
        <w:t xml:space="preserve">. </w:t>
      </w:r>
      <w:r>
        <w:rPr>
          <w:rStyle w:val="734"/>
        </w:rPr>
        <w:t xml:space="preserve">Up-regulation</w:t>
      </w:r>
      <w:r>
        <w:t xml:space="preserve"> existe mais plus rare.</w:t>
      </w:r>
      <w:r/>
    </w:p>
    <w:p>
      <w:pPr>
        <w:pStyle w:val="719"/>
        <w:pBdr/>
        <w:spacing/>
        <w:ind/>
        <w:jc w:val="both"/>
        <w:rPr/>
      </w:pPr>
      <w:r>
        <w:t xml:space="preserve">Les effets des différentes hormones</w:t>
      </w:r>
      <w:r/>
    </w:p>
    <w:p>
      <w:pPr>
        <w:pBdr/>
        <w:spacing/>
        <w:ind/>
        <w:jc w:val="both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79807</wp:posOffset>
                </wp:positionH>
                <wp:positionV relativeFrom="paragraph">
                  <wp:posOffset>726999</wp:posOffset>
                </wp:positionV>
                <wp:extent cx="3218815" cy="1704340"/>
                <wp:effectExtent l="0" t="0" r="635" b="0"/>
                <wp:wrapTopAndBottom/>
                <wp:docPr id="2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218815" cy="170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251659264;o:allowoverlap:true;o:allowincell:true;mso-position-horizontal-relative:text;margin-left:6.28pt;mso-position-horizontal:absolute;mso-position-vertical-relative:text;margin-top:57.24pt;mso-position-vertical:absolute;width:253.45pt;height:134.20pt;mso-wrap-distance-left:9.00pt;mso-wrap-distance-top:0.00pt;mso-wrap-distance-right:9.00pt;mso-wrap-distance-bottom:0.00pt;z-index:1;" stroked="f">
                <w10:wrap type="topAndBottom"/>
                <v:imagedata r:id="rId11" o:title=""/>
                <o:lock v:ext="edit" rotation="t"/>
              </v:shape>
            </w:pict>
          </mc:Fallback>
        </mc:AlternateContent>
      </w:r>
      <w:r>
        <w:rPr>
          <w:rStyle w:val="733"/>
        </w:rPr>
        <w:t xml:space="preserve">Récepteurs</w:t>
      </w:r>
      <w:r>
        <w:t xml:space="preserve"> sur les cellules expliquent le fait que les hormones n’agissent pas partout mais soient </w:t>
      </w:r>
      <w:r>
        <w:rPr>
          <w:rStyle w:val="733"/>
        </w:rPr>
        <w:t xml:space="preserve">spécifiques</w:t>
      </w:r>
      <w:r>
        <w:t xml:space="preserve">. Chaque cellule possède 2 000 à 10 000 récepteurs. </w:t>
      </w:r>
      <w:r>
        <w:t xml:space="preserve">Hydrosolubles</w:t>
      </w:r>
      <w:r>
        <w:t xml:space="preserve"> sur la </w:t>
      </w:r>
      <w:r>
        <w:rPr>
          <w:rStyle w:val="733"/>
        </w:rPr>
        <w:t xml:space="preserve">membrane</w:t>
      </w:r>
      <w:r>
        <w:t xml:space="preserve">, </w:t>
      </w:r>
      <w:r>
        <w:t xml:space="preserve">liposoluble</w:t>
      </w:r>
      <w:r>
        <w:t xml:space="preserve"> dans le </w:t>
      </w:r>
      <w:r>
        <w:rPr>
          <w:rStyle w:val="733"/>
        </w:rPr>
        <w:t xml:space="preserve">cytoplasme ou le noyau</w:t>
      </w:r>
      <w:r>
        <w:t xml:space="preserve">.</w:t>
      </w:r>
      <w:r>
        <w:t xml:space="preserve"> </w:t>
      </w:r>
      <w:r/>
    </w:p>
    <w:p>
      <w:pPr>
        <w:pStyle w:val="720"/>
        <w:pBdr/>
        <w:spacing/>
        <w:ind/>
        <w:jc w:val="both"/>
        <w:rPr/>
      </w:pPr>
      <w:r>
        <w:t xml:space="preserve">Les hormones </w:t>
      </w:r>
      <w:r>
        <w:t xml:space="preserve">liposolubles</w:t>
      </w:r>
      <w:r/>
    </w:p>
    <w:p>
      <w:pPr>
        <w:pBdr/>
        <w:spacing/>
        <w:ind/>
        <w:jc w:val="both"/>
        <w:rPr/>
      </w:pPr>
      <w:r>
        <w:t xml:space="preserve">Pénètre dans la cellule, se lie au récepteur, le complexe se fixe à l’ADN et </w:t>
      </w:r>
      <w:r>
        <w:rPr>
          <w:rStyle w:val="733"/>
        </w:rPr>
        <w:t xml:space="preserve">active la synthèse d’ARNm</w:t>
      </w:r>
      <w:r>
        <w:t xml:space="preserve"> : active la synthèse protéique de d’enzymes, de protéines de structures ou de protéines régulatrices.</w:t>
      </w:r>
      <w:r/>
    </w:p>
    <w:p>
      <w:pPr>
        <w:pStyle w:val="720"/>
        <w:pBdr/>
        <w:spacing/>
        <w:ind/>
        <w:jc w:val="both"/>
        <w:rPr/>
      </w:pPr>
      <w:r>
        <w:t xml:space="preserve">Les hormones </w:t>
      </w:r>
      <w:r>
        <w:t xml:space="preserve">hydrosolubles</w:t>
      </w:r>
      <w:r/>
    </w:p>
    <w:p>
      <w:pPr>
        <w:pBdr/>
        <w:spacing/>
        <w:ind/>
        <w:jc w:val="both"/>
        <w:rPr/>
      </w:pPr>
      <w:r>
        <w:t xml:space="preserve">Se lie à un récepteur sur la membrane, et active </w:t>
      </w:r>
      <w:r>
        <w:rPr>
          <w:rStyle w:val="734"/>
        </w:rPr>
        <w:t xml:space="preserve">l’adénylate cyclase</w:t>
      </w:r>
      <w:r>
        <w:t xml:space="preserve"> qui stimule la formation </w:t>
      </w:r>
      <w:r>
        <w:rPr>
          <w:rStyle w:val="733"/>
        </w:rPr>
        <w:t xml:space="preserve">d’un second messager intracellulair</w:t>
      </w:r>
      <w:r>
        <w:t xml:space="preserve">e comme l’AMPc (ou GMPc, Ca</w:t>
      </w:r>
      <w:r>
        <w:rPr>
          <w:vertAlign w:val="superscript"/>
        </w:rPr>
        <w:t xml:space="preserve">2+</w:t>
      </w:r>
      <w:r>
        <w:t xml:space="preserve">), active des protéines kinases qui aboutissent à des réponses qui peuvent inclurent :</w:t>
      </w:r>
      <w:r/>
    </w:p>
    <w:p>
      <w:pPr>
        <w:pStyle w:val="756"/>
        <w:numPr>
          <w:ilvl w:val="0"/>
          <w:numId w:val="3"/>
        </w:numPr>
        <w:pBdr/>
        <w:spacing/>
        <w:ind/>
        <w:jc w:val="both"/>
        <w:rPr/>
      </w:pPr>
      <w:r>
        <w:t xml:space="preserve">L’activation d’enzymes cellulaires</w:t>
      </w:r>
      <w:r/>
    </w:p>
    <w:p>
      <w:pPr>
        <w:pStyle w:val="756"/>
        <w:numPr>
          <w:ilvl w:val="0"/>
          <w:numId w:val="3"/>
        </w:numPr>
        <w:pBdr/>
        <w:spacing/>
        <w:ind/>
        <w:jc w:val="both"/>
        <w:rPr/>
      </w:pPr>
      <w:r>
        <w:t xml:space="preserve">La modification de la perméabilité membranaire</w:t>
      </w:r>
      <w:r/>
    </w:p>
    <w:p>
      <w:pPr>
        <w:pStyle w:val="756"/>
        <w:numPr>
          <w:ilvl w:val="0"/>
          <w:numId w:val="3"/>
        </w:numPr>
        <w:pBdr/>
        <w:spacing/>
        <w:ind/>
        <w:jc w:val="both"/>
        <w:rPr/>
      </w:pPr>
      <w:r>
        <w:t xml:space="preserve">L’activation de la synthèse protéique</w:t>
      </w:r>
      <w:r/>
    </w:p>
    <w:p>
      <w:pPr>
        <w:pStyle w:val="756"/>
        <w:numPr>
          <w:ilvl w:val="0"/>
          <w:numId w:val="3"/>
        </w:numPr>
        <w:pBdr/>
        <w:spacing/>
        <w:ind/>
        <w:jc w:val="both"/>
        <w:rPr/>
      </w:pPr>
      <w:r>
        <w:t xml:space="preserve">Des modifications du métabolisme cellulaire</w:t>
      </w:r>
      <w:r/>
    </w:p>
    <w:p>
      <w:pPr>
        <w:pStyle w:val="756"/>
        <w:numPr>
          <w:ilvl w:val="0"/>
          <w:numId w:val="3"/>
        </w:numPr>
        <w:pBdr/>
        <w:spacing/>
        <w:ind/>
        <w:jc w:val="both"/>
        <w:rPr/>
      </w:pPr>
      <w:r>
        <w:t xml:space="preserve">La stimulation des sécrétions cellulaires</w:t>
      </w:r>
      <w:r/>
    </w:p>
    <w:p>
      <w:pPr>
        <w:pBdr/>
        <w:spacing/>
        <w:ind/>
        <w:jc w:val="both"/>
        <w:rPr/>
      </w:pPr>
      <w:r>
        <w:t xml:space="preserve">L’adrénaline, le glucagon et l’hormone lutéinisante agissent via AMPc.</w:t>
      </w:r>
      <w:r/>
    </w:p>
    <w:p>
      <w:pPr>
        <w:pStyle w:val="720"/>
        <w:pBdr/>
        <w:spacing/>
        <w:ind/>
        <w:jc w:val="both"/>
        <w:rPr/>
      </w:pPr>
      <w:r>
        <w:t xml:space="preserve">Les prostaglandines</w:t>
      </w:r>
      <w:r/>
    </w:p>
    <w:p>
      <w:pPr>
        <w:pBdr/>
        <w:spacing/>
        <w:ind/>
        <w:jc w:val="both"/>
        <w:rPr/>
      </w:pPr>
      <w:r>
        <w:t xml:space="preserve">Souvent considérées comme des hormones, elles sont dérivées d’un acide gras, l’acide arachidonique.</w:t>
      </w:r>
      <w:r/>
    </w:p>
    <w:p>
      <w:pPr>
        <w:pBdr/>
        <w:spacing/>
        <w:ind/>
        <w:jc w:val="both"/>
        <w:rPr/>
      </w:pPr>
      <w:r>
        <w:t xml:space="preserve">Souvent locales, elles ont plusieurs fonctions et agissent dans l’environnement immédiat de leur lieu de production autocrine.</w:t>
      </w:r>
      <w:r/>
    </w:p>
    <w:p>
      <w:pPr>
        <w:pStyle w:val="718"/>
        <w:pBdr/>
        <w:spacing/>
        <w:ind/>
        <w:jc w:val="both"/>
        <w:rPr/>
      </w:pPr>
      <w:r>
        <w:t xml:space="preserve">Les glandes endocrines et leurs hormones</w:t>
      </w:r>
      <w:r/>
    </w:p>
    <w:p>
      <w:pPr>
        <w:pStyle w:val="719"/>
        <w:pBdr/>
        <w:spacing/>
        <w:ind/>
        <w:jc w:val="both"/>
        <w:rPr/>
      </w:pPr>
      <w:r>
        <w:t xml:space="preserve">Principales glandes et hormones</w:t>
      </w:r>
      <w:r/>
    </w:p>
    <w:tbl>
      <w:tblPr>
        <w:tblW w:w="0" w:type="auto"/>
        <w:tblBorders/>
        <w:tblLook w:val="04A0" w:firstRow="1" w:lastRow="0" w:firstColumn="1" w:lastColumn="0" w:noHBand="0" w:noVBand="1"/>
        <w:tblStyle w:val="758"/>
      </w:tblPr>
      <w:tblGrid>
        <w:gridCol w:w="1727"/>
        <w:gridCol w:w="2094"/>
        <w:gridCol w:w="2000"/>
        <w:gridCol w:w="3251"/>
      </w:tblGrid>
      <w:tr>
        <w:trPr/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Glandes endocrines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Hormone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Organe cible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Fonctions principales</w:t>
            </w:r>
            <w:r/>
          </w:p>
        </w:tc>
      </w:tr>
      <w:tr>
        <w:trPr/>
        <w:tc>
          <w:tcPr>
            <w:tcBorders/>
            <w:tcW w:w="0" w:type="auto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Hypophyse (lobe antérieur)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Hormone de croissance (GH)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Toutes les cellules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Stimule le développement de tous les tissus, augmente la synthèse protéique, active la mobilisation des graisses et leur utilisation comme source énergétique, diminue le taux d’utilisation des glucides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Hormone thyréotrope (TSH)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Glande thyroïde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Contrôle la sécrétion de thyroxine et de triiodothyronine produite et libérées par la glande thyroïde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Hormone adrénocorticotrope (ACTH)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Cortex surrénalien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Contrôle la sécrétion des hormones corticosurrénaliennes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Prolactine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Glande mammaire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Stimule le développement de la glande mammaire et la sécrétion lactée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Hormone folliculostimulante (FSH)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Ovaires, testicules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Déclenche la maturation des follicules ovariens et stimule la sécrétion des œstrogènes par les ovaires et la spermatogenèse par les testicules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Hormone lutéinisante (LH)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Ovaires, testicules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Stimule la sécrétion d’œstrogènes et de progestérone, déclenche l’ovulation, active la sécrétion de testostérone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Lobe postérieur (et hypothalamus)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Hormone antidiurétique (ADH)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Reins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Participe au contrôle de l’excrétion de l’eau par les reins, augmente la pression artérielle en favorisant la vasoconstriction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Ocytocine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Utérus, glande mammaire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Stimule la contraction des muscles utérins et la sécrétion lactée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Thyroïde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Thyroxine et triiodothyronine 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Toutes les cellules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Augmente l’activité métabolique des cellules, augmente la fréquence et la contractilité du cœur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Calcitonine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Os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Contrôle la concentration des ions calcium dans le sang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Parathyroïdes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Parathormone (PTH)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Os, intestins, reins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Contrôle la concentration des ions calcium dans les liquides extracellulaires par action indirecte au niveau des os, des intestins et des reins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Surrénales médulla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Adrénaline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Une grande partie des cellules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Mobilise le glycogène, augmente le débit sanguin musculaire, augmente la fréquence et la contractilité du cœur, augmente la consommation d’oxygène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Noradrénaline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Une grande partie des cellules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Entraîne la contraction des artérioles et des veinules, élève la pression artérielle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b w:val="0"/>
                <w:bCs w:val="0"/>
              </w:rPr>
            </w:pPr>
            <w:r>
              <w:t xml:space="preserve">Cortex surrénalien</w:t>
            </w:r>
            <w:r>
              <w:rPr>
                <w:b w:val="0"/>
                <w:bCs w:val="0"/>
              </w:rPr>
            </w:r>
          </w:p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Minéralocorticoïdes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Reins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Augmente la rétention de sodium et l’excrétion du potassium au niveau des reins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Glucocorticoïdes (cortisol)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Une grande partie des cellules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Contrôle le métabolisme des glucides, des lipides et des protéines ; action anti-inflammatoire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Androgènes et œstrogènes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Ovaires, glandes mammaires et testicules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Développement des caractères sexuels masculins et féminins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Pancréas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Insuline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Toutes les cellules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Contrôle la glycémie en diminuant le niveau de glucose sanguin ; augmente l’utilisation du glucose et la synthèse des graisses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Glucagon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Toutes les cellules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Augmente la glycémie ; accélère la dégradation des graisses et des protéines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Somatostatine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Ilots de Langerhans et tractus gastro-intestinal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Inhibe la sécrétion de l’insuline et du glucagon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Reins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Rénine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Corticosurrénales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Participe au contrôle de la pression artérielle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Erythropoïétine (EPO)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Moelle épinière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Stimule la synthèse des globules rouges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Gonades, testicules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Testostérone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Organes sexuels, muscles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Active le développement des caractères sexuels masculins, stimule la croissance musculaire</w:t>
            </w:r>
            <w:r>
              <w:rPr>
                <w:i/>
                <w:iCs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Ovaires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Œstrogènes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Organes sexuels, tissu adipeux</w:t>
            </w:r>
            <w:r/>
          </w:p>
        </w:tc>
        <w:tc>
          <w:tcPr>
            <w:tcBorders/>
            <w:tcW w:w="0" w:type="auto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Développement des organes sexuels féminins, augmente le stockage des graisses et participe à la régulation du cycle menstruel</w:t>
            </w:r>
            <w:r>
              <w:rPr>
                <w:i/>
                <w:iCs/>
                <w:sz w:val="18"/>
                <w:szCs w:val="18"/>
              </w:rPr>
            </w:r>
          </w:p>
        </w:tc>
      </w:tr>
    </w:tbl>
    <w:p>
      <w:pPr>
        <w:pBdr/>
        <w:spacing/>
        <w:ind/>
        <w:rPr/>
      </w:pPr>
      <w:r/>
      <w:r/>
    </w:p>
    <w:p>
      <w:pPr>
        <w:pStyle w:val="719"/>
        <w:pBdr/>
        <w:spacing/>
        <w:ind/>
        <w:rPr/>
      </w:pPr>
      <w:r>
        <w:t xml:space="preserve">Régulation des sécrétions hormonales</w:t>
      </w:r>
      <w:r/>
    </w:p>
    <w:p>
      <w:pPr>
        <w:pBdr/>
        <w:spacing/>
        <w:ind/>
        <w:rPr/>
      </w:pPr>
      <w:r>
        <w:t xml:space="preserve">3 types de stimuli :</w:t>
      </w:r>
      <w:r/>
    </w:p>
    <w:p>
      <w:pPr>
        <w:pStyle w:val="756"/>
        <w:numPr>
          <w:ilvl w:val="0"/>
          <w:numId w:val="20"/>
        </w:numPr>
        <w:pBdr/>
        <w:spacing/>
        <w:ind/>
        <w:rPr>
          <w:rStyle w:val="734"/>
        </w:rPr>
      </w:pPr>
      <w:r>
        <w:rPr>
          <w:rStyle w:val="734"/>
        </w:rPr>
        <w:t xml:space="preserve">Hormonal </w:t>
      </w:r>
      <w:r>
        <w:rPr>
          <w:rStyle w:val="734"/>
        </w:rPr>
      </w:r>
    </w:p>
    <w:p>
      <w:pPr>
        <w:pStyle w:val="756"/>
        <w:numPr>
          <w:ilvl w:val="1"/>
          <w:numId w:val="20"/>
        </w:numPr>
        <w:pBdr/>
        <w:spacing/>
        <w:ind/>
        <w:rPr/>
      </w:pPr>
      <w:r>
        <w:t xml:space="preserve">H. Hypothalamus : H. adénohypophysaires : cortisol, H thyroïdiennes, H sexuelles</w:t>
      </w:r>
      <w:r/>
    </w:p>
    <w:p>
      <w:pPr>
        <w:pStyle w:val="756"/>
        <w:numPr>
          <w:ilvl w:val="0"/>
          <w:numId w:val="20"/>
        </w:numPr>
        <w:pBdr/>
        <w:spacing/>
        <w:ind/>
        <w:rPr>
          <w:rStyle w:val="734"/>
        </w:rPr>
      </w:pPr>
      <w:r>
        <w:rPr>
          <w:rStyle w:val="734"/>
        </w:rPr>
        <w:t xml:space="preserve">Humoral</w:t>
      </w:r>
      <w:r>
        <w:rPr>
          <w:rStyle w:val="734"/>
        </w:rPr>
      </w:r>
    </w:p>
    <w:p>
      <w:pPr>
        <w:pStyle w:val="756"/>
        <w:numPr>
          <w:ilvl w:val="1"/>
          <w:numId w:val="20"/>
        </w:numPr>
        <w:pBdr/>
        <w:spacing/>
        <w:ind/>
        <w:rPr/>
      </w:pPr>
      <w:r>
        <w:t xml:space="preserve">Calcium sanguin : H parathyroïdienne ou calcitonine</w:t>
      </w:r>
      <w:r/>
    </w:p>
    <w:p>
      <w:pPr>
        <w:pStyle w:val="756"/>
        <w:numPr>
          <w:ilvl w:val="1"/>
          <w:numId w:val="20"/>
        </w:numPr>
        <w:pBdr/>
        <w:spacing/>
        <w:ind/>
        <w:rPr/>
      </w:pPr>
      <w:r>
        <w:t xml:space="preserve">Glucose : insuline ou glucagon</w:t>
      </w:r>
      <w:r/>
    </w:p>
    <w:p>
      <w:pPr>
        <w:pStyle w:val="756"/>
        <w:numPr>
          <w:ilvl w:val="1"/>
          <w:numId w:val="20"/>
        </w:numPr>
        <w:pBdr/>
        <w:spacing/>
        <w:ind/>
        <w:rPr/>
      </w:pPr>
      <w:r>
        <w:t xml:space="preserve">O2 : EPO</w:t>
      </w:r>
      <w:r/>
    </w:p>
    <w:p>
      <w:pPr>
        <w:pStyle w:val="756"/>
        <w:numPr>
          <w:ilvl w:val="0"/>
          <w:numId w:val="20"/>
        </w:numPr>
        <w:pBdr/>
        <w:spacing/>
        <w:ind/>
        <w:rPr>
          <w:rStyle w:val="734"/>
        </w:rPr>
      </w:pPr>
      <w:r>
        <w:rPr>
          <w:rStyle w:val="734"/>
        </w:rPr>
        <w:t xml:space="preserve">Nerveux</w:t>
      </w:r>
      <w:r>
        <w:rPr>
          <w:rStyle w:val="734"/>
        </w:rPr>
      </w:r>
    </w:p>
    <w:p>
      <w:pPr>
        <w:pStyle w:val="756"/>
        <w:numPr>
          <w:ilvl w:val="1"/>
          <w:numId w:val="20"/>
        </w:numPr>
        <w:pBdr/>
        <w:spacing/>
        <w:ind/>
        <w:rPr/>
      </w:pPr>
      <w:r>
        <w:t xml:space="preserve">Influx nerveux : catécholamines</w:t>
      </w:r>
      <w:r/>
    </w:p>
    <w:p>
      <w:pPr>
        <w:pBdr/>
        <w:spacing/>
        <w:ind/>
        <w:rPr/>
      </w:pPr>
      <w:r>
        <w:t xml:space="preserve">Rétroactions : augmentation de la concentration plasmatique de l’hormone inhibe sa libération</w:t>
      </w:r>
      <w:r/>
    </w:p>
    <w:p>
      <w:pPr>
        <w:pStyle w:val="756"/>
        <w:numPr>
          <w:ilvl w:val="0"/>
          <w:numId w:val="21"/>
        </w:numPr>
        <w:pBdr/>
        <w:spacing/>
        <w:ind/>
        <w:rPr/>
      </w:pPr>
      <w:r>
        <w:t xml:space="preserve">En diminuant les niveaux plasmatiques de l’hormone adénohypophysaire et de </w:t>
      </w:r>
      <w:r>
        <w:t xml:space="preserve">l’H</w:t>
      </w:r>
      <w:r>
        <w:t xml:space="preserve">. de libération hypothalamique à l’origine de sa sécrétion</w:t>
      </w:r>
      <w:r/>
    </w:p>
    <w:p>
      <w:pPr>
        <w:pStyle w:val="756"/>
        <w:numPr>
          <w:ilvl w:val="0"/>
          <w:numId w:val="21"/>
        </w:numPr>
        <w:pBdr/>
        <w:spacing/>
        <w:ind/>
        <w:rPr/>
      </w:pPr>
      <w:r>
        <w:t xml:space="preserve">En diminuant les niveaux plasmatiques du substrat à l’origine de sa sécrétion</w:t>
      </w:r>
      <w:r/>
    </w:p>
    <w:p>
      <w:pPr>
        <w:pStyle w:val="717"/>
        <w:pBdr/>
        <w:spacing/>
        <w:ind/>
        <w:rPr/>
      </w:pPr>
      <w:r>
        <w:t xml:space="preserve">Adaptations hormonales à l’exercice</w:t>
      </w:r>
      <w:r/>
    </w:p>
    <w:p>
      <w:pPr>
        <w:pBdr/>
        <w:spacing/>
        <w:ind/>
        <w:rPr>
          <w:rFonts w:eastAsiaTheme="minorHAnsi"/>
        </w:rPr>
      </w:pPr>
      <w:r>
        <w:rPr>
          <w:rFonts w:eastAsiaTheme="minorHAnsi"/>
        </w:rPr>
        <w:t xml:space="preserve">1. </w:t>
      </w:r>
      <w:r>
        <w:rPr>
          <w:rStyle w:val="734"/>
        </w:rPr>
        <w:t xml:space="preserve">Réaction d’alarme</w:t>
      </w:r>
      <w:r>
        <w:rPr>
          <w:rFonts w:eastAsiaTheme="minorHAnsi"/>
        </w:rPr>
      </w:r>
    </w:p>
    <w:p>
      <w:pPr>
        <w:pStyle w:val="756"/>
        <w:numPr>
          <w:ilvl w:val="0"/>
          <w:numId w:val="23"/>
        </w:numPr>
        <w:pBdr/>
        <w:spacing/>
        <w:ind/>
        <w:rPr>
          <w:rFonts w:eastAsiaTheme="minorHAnsi"/>
          <w:color w:val="000000"/>
        </w:rPr>
      </w:pPr>
      <w:r>
        <w:rPr>
          <w:rStyle w:val="733"/>
        </w:rPr>
        <w:t xml:space="preserve">De courte </w:t>
      </w:r>
      <w:r>
        <w:rPr>
          <w:rStyle w:val="733"/>
        </w:rPr>
        <w:t xml:space="preserve">durée</w:t>
      </w:r>
      <w:r>
        <w:rPr>
          <w:rFonts w:eastAsiaTheme="minorHAnsi"/>
          <w:color w:val="000000"/>
        </w:rPr>
      </w:r>
    </w:p>
    <w:p>
      <w:pPr>
        <w:pStyle w:val="756"/>
        <w:numPr>
          <w:ilvl w:val="0"/>
          <w:numId w:val="23"/>
        </w:numPr>
        <w:pBdr/>
        <w:spacing/>
        <w:ind/>
        <w:rPr>
          <w:rFonts w:ascii="TwCenMT-Regular" w:hAnsi="TwCenMT-Regular" w:cs="TwCenMT-Regular" w:eastAsiaTheme="minorHAnsi"/>
          <w:color w:val="000000"/>
        </w:rPr>
      </w:pPr>
      <w:r>
        <w:rPr>
          <w:rFonts w:ascii="TwCenMT-Regular" w:hAnsi="TwCenMT-Regular" w:cs="TwCenMT-Regular" w:eastAsiaTheme="minorHAnsi"/>
          <w:color w:val="000000"/>
        </w:rPr>
        <w:t xml:space="preserve">Ensemble de réactions </w:t>
      </w:r>
      <w:r>
        <w:rPr>
          <w:rFonts w:eastAsiaTheme="minorHAnsi"/>
          <w:color w:val="000000"/>
        </w:rPr>
        <w:t xml:space="preserve">déclenchées par l’hypothalamus</w:t>
      </w:r>
      <w:r>
        <w:rPr>
          <w:rFonts w:ascii="TwCenMT-Regular" w:hAnsi="TwCenMT-Regular" w:cs="TwCenMT-Regular" w:eastAsiaTheme="minorHAnsi"/>
          <w:color w:val="000000"/>
        </w:rPr>
        <w:t xml:space="preserve">, stimule le système nerveux sympathique et la</w:t>
      </w:r>
      <w:r>
        <w:rPr>
          <w:rFonts w:ascii="TwCenMT-Regular" w:hAnsi="TwCenMT-Regular" w:cs="TwCenMT-Regular" w:eastAsiaTheme="minorHAnsi"/>
          <w:color w:val="000000"/>
        </w:rPr>
        <w:t xml:space="preserve"> </w:t>
      </w:r>
      <w:r>
        <w:rPr>
          <w:rFonts w:ascii="TwCenMT-Regular" w:hAnsi="TwCenMT-Regular" w:cs="TwCenMT-Regular" w:eastAsiaTheme="minorHAnsi"/>
          <w:color w:val="000000"/>
        </w:rPr>
        <w:t xml:space="preserve">médullosurrénale qui sécrète les </w:t>
      </w:r>
      <w:r>
        <w:rPr>
          <w:rStyle w:val="733"/>
        </w:rPr>
        <w:t xml:space="preserve">catécholamines</w:t>
      </w:r>
      <w:r>
        <w:rPr>
          <w:rFonts w:eastAsiaTheme="minorHAnsi"/>
          <w:color w:val="000000"/>
        </w:rPr>
        <w:t xml:space="preserve"> </w:t>
      </w:r>
      <w:r>
        <w:rPr>
          <w:rFonts w:ascii="TwCenMT-Regular" w:hAnsi="TwCenMT-Regular" w:cs="TwCenMT-Regular" w:eastAsiaTheme="minorHAnsi"/>
          <w:color w:val="000000"/>
        </w:rPr>
        <w:t xml:space="preserve">(hormones à action rapide et brève)</w:t>
      </w:r>
      <w:r>
        <w:rPr>
          <w:rFonts w:ascii="TwCenMT-Regular" w:hAnsi="TwCenMT-Regular" w:cs="TwCenMT-Regular" w:eastAsiaTheme="minorHAnsi"/>
          <w:color w:val="000000"/>
        </w:rPr>
      </w:r>
    </w:p>
    <w:p>
      <w:pPr>
        <w:pStyle w:val="756"/>
        <w:numPr>
          <w:ilvl w:val="0"/>
          <w:numId w:val="23"/>
        </w:numPr>
        <w:pBdr/>
        <w:spacing/>
        <w:ind/>
        <w:rPr>
          <w:rFonts w:eastAsiaTheme="minorHAnsi"/>
          <w:color w:val="000000"/>
        </w:rPr>
      </w:pPr>
      <w:r>
        <w:rPr>
          <w:rFonts w:ascii="TwCenMT-Regular" w:hAnsi="TwCenMT-Regular" w:cs="TwCenMT-Regular" w:eastAsiaTheme="minorHAnsi"/>
          <w:color w:val="000000"/>
        </w:rPr>
        <w:t xml:space="preserve">Entraîne un afflux de </w:t>
      </w:r>
      <w:r>
        <w:rPr>
          <w:rFonts w:eastAsiaTheme="minorHAnsi"/>
          <w:color w:val="000000"/>
        </w:rPr>
        <w:t xml:space="preserve">glucose et d’O</w:t>
      </w:r>
      <w:r>
        <w:rPr>
          <w:rFonts w:eastAsiaTheme="minorHAnsi"/>
          <w:color w:val="000000"/>
          <w:sz w:val="8"/>
          <w:szCs w:val="8"/>
        </w:rPr>
        <w:t xml:space="preserve">2 </w:t>
      </w:r>
      <w:r>
        <w:rPr>
          <w:rFonts w:ascii="TwCenMT-Regular" w:hAnsi="TwCenMT-Regular" w:cs="TwCenMT-Regular" w:eastAsiaTheme="minorHAnsi"/>
          <w:color w:val="000000"/>
        </w:rPr>
        <w:t xml:space="preserve">vers les organes les plus impliqués dans la </w:t>
      </w:r>
      <w:r>
        <w:rPr>
          <w:rFonts w:eastAsiaTheme="minorHAnsi"/>
          <w:color w:val="000000"/>
        </w:rPr>
        <w:t xml:space="preserve">gestion du « danger »</w:t>
      </w:r>
      <w:r>
        <w:rPr>
          <w:rFonts w:eastAsiaTheme="minorHAnsi"/>
          <w:color w:val="000000"/>
        </w:rPr>
        <w:t xml:space="preserve"> </w:t>
      </w:r>
      <w:r>
        <w:rPr>
          <w:rFonts w:ascii="TwCenMT-Regular" w:hAnsi="TwCenMT-Regular" w:cs="TwCenMT-Regular" w:eastAsiaTheme="minorHAnsi"/>
          <w:color w:val="000000"/>
        </w:rPr>
        <w:t xml:space="preserve">(cerveau, </w:t>
      </w:r>
      <w:r>
        <w:rPr>
          <w:rFonts w:ascii="TwCenMT-Regular" w:hAnsi="TwCenMT-Regular" w:cs="TwCenMT-Regular" w:eastAsiaTheme="minorHAnsi"/>
          <w:color w:val="000000"/>
        </w:rPr>
        <w:t xml:space="preserve">coeur</w:t>
      </w:r>
      <w:r>
        <w:rPr>
          <w:rFonts w:ascii="TwCenMT-Regular" w:hAnsi="TwCenMT-Regular" w:cs="TwCenMT-Regular" w:eastAsiaTheme="minorHAnsi"/>
          <w:color w:val="000000"/>
        </w:rPr>
        <w:t xml:space="preserve">, muscles squelettiques)</w:t>
      </w:r>
      <w:r>
        <w:rPr>
          <w:rFonts w:eastAsiaTheme="minorHAnsi"/>
          <w:color w:val="000000"/>
        </w:rPr>
      </w:r>
    </w:p>
    <w:p>
      <w:pPr>
        <w:pBdr/>
        <w:spacing/>
        <w:ind/>
        <w:rPr>
          <w:rFonts w:eastAsiaTheme="minorHAnsi"/>
        </w:rPr>
      </w:pPr>
      <w:r>
        <w:rPr>
          <w:rFonts w:eastAsiaTheme="minorHAnsi"/>
        </w:rPr>
        <w:t xml:space="preserve">2. </w:t>
      </w:r>
      <w:r>
        <w:rPr>
          <w:rStyle w:val="734"/>
        </w:rPr>
        <w:t xml:space="preserve">Étape de résistance</w:t>
      </w:r>
      <w:r>
        <w:rPr>
          <w:rFonts w:eastAsiaTheme="minorHAnsi"/>
        </w:rPr>
      </w:r>
    </w:p>
    <w:p>
      <w:pPr>
        <w:pStyle w:val="756"/>
        <w:numPr>
          <w:ilvl w:val="0"/>
          <w:numId w:val="23"/>
        </w:numPr>
        <w:pBdr/>
        <w:spacing/>
        <w:ind/>
        <w:rPr>
          <w:rStyle w:val="733"/>
        </w:rPr>
      </w:pPr>
      <w:r>
        <w:rPr>
          <w:rStyle w:val="733"/>
        </w:rPr>
        <w:t xml:space="preserve">Dure plus longtemps que l’étape précédente</w:t>
      </w:r>
      <w:r>
        <w:rPr>
          <w:rStyle w:val="733"/>
        </w:rPr>
      </w:r>
    </w:p>
    <w:p>
      <w:pPr>
        <w:pStyle w:val="756"/>
        <w:numPr>
          <w:ilvl w:val="0"/>
          <w:numId w:val="23"/>
        </w:numPr>
        <w:pBdr/>
        <w:spacing/>
        <w:ind/>
        <w:rPr>
          <w:rFonts w:ascii="TwCenMT-Regular" w:hAnsi="TwCenMT-Regular" w:cs="TwCenMT-Regular" w:eastAsiaTheme="minorHAnsi"/>
          <w:color w:val="000000"/>
        </w:rPr>
      </w:pPr>
      <w:r>
        <w:rPr>
          <w:rFonts w:ascii="TwCenMT-Regular" w:hAnsi="TwCenMT-Regular" w:cs="TwCenMT-Regular" w:eastAsiaTheme="minorHAnsi"/>
          <w:color w:val="000000"/>
        </w:rPr>
        <w:t xml:space="preserve">Déclenchée principalement par les </w:t>
      </w:r>
      <w:r>
        <w:rPr>
          <w:rFonts w:eastAsiaTheme="minorHAnsi"/>
          <w:color w:val="000000"/>
        </w:rPr>
        <w:t xml:space="preserve">hormones </w:t>
      </w:r>
      <w:r>
        <w:rPr>
          <w:rStyle w:val="733"/>
        </w:rPr>
        <w:t xml:space="preserve">hypothalamiques</w:t>
      </w:r>
      <w:r>
        <w:rPr>
          <w:rFonts w:eastAsiaTheme="minorHAnsi"/>
          <w:color w:val="000000"/>
        </w:rPr>
        <w:t xml:space="preserve"> </w:t>
      </w:r>
      <w:r>
        <w:rPr>
          <w:rFonts w:ascii="TwCenMT-Regular" w:hAnsi="TwCenMT-Regular" w:cs="TwCenMT-Regular" w:eastAsiaTheme="minorHAnsi"/>
          <w:color w:val="000000"/>
        </w:rPr>
        <w:t xml:space="preserve">(CRH, GHRH, TRH) qui agissent sur des glandes endocrines ou non-endocrines: sécrétion et libération d’ACTH, </w:t>
      </w:r>
      <w:r>
        <w:rPr>
          <w:rFonts w:ascii="TwCenMT-Regular" w:hAnsi="TwCenMT-Regular" w:cs="TwCenMT-Regular" w:eastAsiaTheme="minorHAnsi"/>
          <w:color w:val="000000"/>
        </w:rPr>
        <w:t xml:space="preserve">hGH</w:t>
      </w:r>
      <w:r>
        <w:rPr>
          <w:rFonts w:ascii="TwCenMT-Regular" w:hAnsi="TwCenMT-Regular" w:cs="TwCenMT-Regular" w:eastAsiaTheme="minorHAnsi"/>
          <w:color w:val="000000"/>
        </w:rPr>
        <w:t xml:space="preserve">, TSH qui entraîne la </w:t>
      </w:r>
      <w:r>
        <w:rPr>
          <w:rFonts w:eastAsiaTheme="minorHAnsi"/>
          <w:color w:val="000000"/>
        </w:rPr>
        <w:t xml:space="preserve">sécrétion d’autres hormones </w:t>
      </w:r>
      <w:r>
        <w:rPr>
          <w:rFonts w:ascii="TwCenMT-Regular" w:hAnsi="TwCenMT-Regular" w:cs="TwCenMT-Regular" w:eastAsiaTheme="minorHAnsi"/>
          <w:color w:val="000000"/>
        </w:rPr>
        <w:t xml:space="preserve">(</w:t>
      </w:r>
      <w:r>
        <w:rPr>
          <w:rStyle w:val="733"/>
        </w:rPr>
        <w:t xml:space="preserve">cortisol, aldostérone, T3 et T4</w:t>
      </w:r>
      <w:r>
        <w:rPr>
          <w:rFonts w:ascii="TwCenMT-Regular" w:hAnsi="TwCenMT-Regular" w:cs="TwCenMT-Regular" w:eastAsiaTheme="minorHAnsi"/>
          <w:color w:val="000000"/>
        </w:rPr>
        <w:t xml:space="preserve">)</w:t>
      </w:r>
      <w:r>
        <w:rPr>
          <w:rFonts w:ascii="TwCenMT-Regular" w:hAnsi="TwCenMT-Regular" w:cs="TwCenMT-Regular" w:eastAsiaTheme="minorHAnsi"/>
          <w:color w:val="000000"/>
        </w:rPr>
      </w:r>
    </w:p>
    <w:p>
      <w:pPr>
        <w:pStyle w:val="756"/>
        <w:numPr>
          <w:ilvl w:val="0"/>
          <w:numId w:val="23"/>
        </w:numPr>
        <w:pBdr/>
        <w:spacing/>
        <w:ind/>
        <w:rPr>
          <w:rFonts w:eastAsiaTheme="minorHAnsi"/>
          <w:color w:val="000000"/>
        </w:rPr>
      </w:pPr>
      <w:r>
        <w:rPr>
          <w:rFonts w:ascii="TwCenMT-Regular" w:hAnsi="TwCenMT-Regular" w:cs="TwCenMT-Regular" w:eastAsiaTheme="minorHAnsi"/>
          <w:color w:val="000000"/>
        </w:rPr>
        <w:t xml:space="preserve">Induit des modifications au niveau du </w:t>
      </w:r>
      <w:r>
        <w:rPr>
          <w:rStyle w:val="733"/>
        </w:rPr>
        <w:t xml:space="preserve">métabolisme énergétique et </w:t>
      </w:r>
      <w:r>
        <w:rPr>
          <w:rStyle w:val="733"/>
        </w:rPr>
        <w:t xml:space="preserve">hydroélectrolytique</w:t>
      </w:r>
      <w:r>
        <w:rPr>
          <w:rFonts w:eastAsiaTheme="minorHAnsi"/>
          <w:color w:val="000000"/>
        </w:rPr>
      </w:r>
    </w:p>
    <w:p>
      <w:pPr>
        <w:pBdr/>
        <w:spacing/>
        <w:ind/>
        <w:rPr>
          <w:rFonts w:eastAsiaTheme="minorHAnsi"/>
        </w:rPr>
      </w:pPr>
      <w:r>
        <w:rPr>
          <w:rFonts w:eastAsiaTheme="minorHAnsi"/>
        </w:rPr>
        <w:t xml:space="preserve">3. </w:t>
      </w:r>
      <w:r>
        <w:rPr>
          <w:rStyle w:val="734"/>
        </w:rPr>
        <w:t xml:space="preserve">Étape d’épuisement</w:t>
      </w:r>
      <w:r>
        <w:rPr>
          <w:rFonts w:eastAsiaTheme="minorHAnsi"/>
        </w:rPr>
      </w:r>
    </w:p>
    <w:p>
      <w:pPr>
        <w:pStyle w:val="756"/>
        <w:numPr>
          <w:ilvl w:val="0"/>
          <w:numId w:val="23"/>
        </w:numPr>
        <w:pBdr/>
        <w:spacing/>
        <w:ind/>
        <w:rPr>
          <w:rFonts w:ascii="TwCenMT-Regular" w:hAnsi="TwCenMT-Regular" w:cs="TwCenMT-Regular" w:eastAsiaTheme="minorHAnsi"/>
          <w:color w:val="000000"/>
        </w:rPr>
      </w:pPr>
      <w:r>
        <w:rPr>
          <w:rFonts w:ascii="TwCenMT-Regular" w:hAnsi="TwCenMT-Regular" w:cs="TwCenMT-Regular" w:eastAsiaTheme="minorHAnsi"/>
          <w:color w:val="000000"/>
        </w:rPr>
        <w:t xml:space="preserve">Une </w:t>
      </w:r>
      <w:r>
        <w:rPr>
          <w:rFonts w:eastAsiaTheme="minorHAnsi"/>
          <w:color w:val="000000"/>
        </w:rPr>
        <w:t xml:space="preserve">exposition </w:t>
      </w:r>
      <w:r>
        <w:rPr>
          <w:rStyle w:val="733"/>
        </w:rPr>
        <w:t xml:space="preserve">prolongée</w:t>
      </w:r>
      <w:r>
        <w:rPr>
          <w:rFonts w:eastAsiaTheme="minorHAnsi"/>
          <w:color w:val="000000"/>
        </w:rPr>
        <w:t xml:space="preserve"> </w:t>
      </w:r>
      <w:r>
        <w:rPr>
          <w:rFonts w:ascii="TwCenMT-Regular" w:hAnsi="TwCenMT-Regular" w:cs="TwCenMT-Regular" w:eastAsiaTheme="minorHAnsi"/>
          <w:color w:val="000000"/>
        </w:rPr>
        <w:t xml:space="preserve">à des </w:t>
      </w:r>
      <w:r>
        <w:rPr>
          <w:rFonts w:eastAsiaTheme="minorHAnsi"/>
          <w:color w:val="000000"/>
        </w:rPr>
        <w:t xml:space="preserve">concentrations élevées </w:t>
      </w:r>
      <w:r>
        <w:rPr>
          <w:rFonts w:ascii="TwCenMT-Regular" w:hAnsi="TwCenMT-Regular" w:cs="TwCenMT-Regular" w:eastAsiaTheme="minorHAnsi"/>
          <w:color w:val="000000"/>
        </w:rPr>
        <w:t xml:space="preserve">de cortisol ou d’autres hormones pendant l’étape de résistance peut entraîner des </w:t>
      </w:r>
      <w:r>
        <w:rPr>
          <w:rFonts w:eastAsiaTheme="minorHAnsi"/>
          <w:color w:val="000000"/>
        </w:rPr>
        <w:t xml:space="preserve">effets délétères </w:t>
      </w:r>
      <w:r>
        <w:rPr>
          <w:rFonts w:ascii="TwCenMT-Regular" w:hAnsi="TwCenMT-Regular" w:cs="TwCenMT-Regular" w:eastAsiaTheme="minorHAnsi"/>
          <w:color w:val="000000"/>
        </w:rPr>
        <w:t xml:space="preserve">au niveau immunitaire, musculaire, pancréatique, etc.</w:t>
      </w:r>
      <w:r>
        <w:rPr>
          <w:rFonts w:ascii="TwCenMT-Regular" w:hAnsi="TwCenMT-Regular" w:cs="TwCenMT-Regular" w:eastAsiaTheme="minorHAnsi"/>
          <w:color w:val="000000"/>
        </w:rPr>
      </w:r>
    </w:p>
    <w:p>
      <w:pPr>
        <w:pStyle w:val="718"/>
        <w:pBdr/>
        <w:spacing/>
        <w:ind/>
        <w:jc w:val="both"/>
        <w:rPr/>
      </w:pPr>
      <w:r>
        <w:t xml:space="preserve">Régulation hormonale du métabolisme énergétique à l’exercice</w:t>
      </w:r>
      <w:r/>
    </w:p>
    <w:p>
      <w:pPr>
        <w:pStyle w:val="719"/>
        <w:pBdr/>
        <w:spacing/>
        <w:ind/>
        <w:jc w:val="both"/>
        <w:rPr/>
      </w:pPr>
      <w:r>
        <w:t xml:space="preserve">Les glandes endocrines impliquées dans la régulation métabolique</w:t>
      </w:r>
      <w:r/>
    </w:p>
    <w:p>
      <w:pPr>
        <w:pStyle w:val="720"/>
        <w:pBdr/>
        <w:spacing/>
        <w:ind/>
        <w:jc w:val="both"/>
        <w:rPr/>
      </w:pPr>
      <w:r>
        <w:t xml:space="preserve">L’hypophyse</w:t>
      </w:r>
      <w:r/>
    </w:p>
    <w:p>
      <w:pPr>
        <w:pBdr/>
        <w:spacing/>
        <w:ind/>
        <w:jc w:val="both"/>
        <w:rPr/>
      </w:pPr>
      <w:r>
        <w:t xml:space="preserve">Régule beaucoup de glandes via ses hormones, et est régulée par </w:t>
      </w:r>
      <w:r>
        <w:rPr>
          <w:rStyle w:val="733"/>
        </w:rPr>
        <w:t xml:space="preserve">l’hypothalamus</w:t>
      </w:r>
      <w:r>
        <w:t xml:space="preserve">. Le lobe antérieur sécrète six hormones en réponse à la sécrétion par l’hypothalamus d’hormones spécifiques qui sont soit des </w:t>
      </w:r>
      <w:r>
        <w:rPr>
          <w:rStyle w:val="734"/>
        </w:rPr>
        <w:t xml:space="preserve">releasing-factors</w:t>
      </w:r>
      <w:r>
        <w:t xml:space="preserve"> soit des </w:t>
      </w:r>
      <w:r>
        <w:rPr>
          <w:rStyle w:val="734"/>
        </w:rPr>
        <w:t xml:space="preserve">inhibiting-factors</w:t>
      </w:r>
      <w:r>
        <w:t xml:space="preserve">.</w:t>
      </w:r>
      <w:r/>
    </w:p>
    <w:p>
      <w:pPr>
        <w:pBdr/>
        <w:spacing/>
        <w:ind/>
        <w:jc w:val="both"/>
        <w:rPr/>
      </w:pPr>
      <w:r>
        <w:rPr>
          <w:rStyle w:val="733"/>
        </w:rPr>
        <w:t xml:space="preserve">L’exercice augmente le taux de libération de toutes</w:t>
      </w:r>
      <w:r>
        <w:t xml:space="preserve"> les hormones antéhypophysaires. A l’exception de l’hormone de croissance (GH) et de la prolactine, les 4 autres contrôlent l’activité de glandes endocrines. Le niveau de GH s’élève lors d’exercice aérobie de manière proportionnelle à son intensité.</w:t>
      </w:r>
      <w:r/>
    </w:p>
    <w:p>
      <w:pPr>
        <w:pStyle w:val="720"/>
        <w:pBdr/>
        <w:spacing/>
        <w:ind/>
        <w:jc w:val="both"/>
        <w:rPr/>
      </w:pPr>
      <w:r>
        <w:t xml:space="preserve">La glande thyroïde</w:t>
      </w:r>
      <w:r/>
    </w:p>
    <w:p>
      <w:pPr>
        <w:pBdr/>
        <w:spacing/>
        <w:ind/>
        <w:jc w:val="both"/>
        <w:rPr/>
      </w:pPr>
      <w:r>
        <w:t xml:space="preserve">Sécrète </w:t>
      </w:r>
      <w:r>
        <w:rPr>
          <w:rStyle w:val="733"/>
        </w:rPr>
        <w:t xml:space="preserve">triiodothyronine</w:t>
      </w:r>
      <w:r>
        <w:t xml:space="preserve"> (T</w:t>
      </w:r>
      <w:r>
        <w:rPr>
          <w:vertAlign w:val="subscript"/>
        </w:rPr>
        <w:t xml:space="preserve">3</w:t>
      </w:r>
      <w:r>
        <w:t xml:space="preserve">) et </w:t>
      </w:r>
      <w:r>
        <w:rPr>
          <w:rStyle w:val="733"/>
        </w:rPr>
        <w:t xml:space="preserve">thyroxine</w:t>
      </w:r>
      <w:r>
        <w:t xml:space="preserve"> (T</w:t>
      </w:r>
      <w:r>
        <w:rPr>
          <w:vertAlign w:val="subscript"/>
        </w:rPr>
        <w:t xml:space="preserve">4</w:t>
      </w:r>
      <w:r>
        <w:t xml:space="preserve">) qui augmentent le métabolisme de base de 60% à 100%. Et également la </w:t>
      </w:r>
      <w:r>
        <w:rPr>
          <w:rStyle w:val="733"/>
        </w:rPr>
        <w:t xml:space="preserve">calcitonine</w:t>
      </w:r>
      <w:r>
        <w:t xml:space="preserve"> qui contrôle le métabolisme calcique.</w:t>
      </w:r>
      <w:r/>
    </w:p>
    <w:p>
      <w:pPr>
        <w:pBdr/>
        <w:spacing/>
        <w:ind/>
        <w:jc w:val="both"/>
        <w:rPr/>
      </w:pPr>
      <w:r>
        <w:t xml:space="preserve">L’exercice augmente la sécrétion de TSH donc augmentation de T</w:t>
      </w:r>
      <w:r>
        <w:rPr>
          <w:vertAlign w:val="subscript"/>
        </w:rPr>
        <w:t xml:space="preserve">3</w:t>
      </w:r>
      <w:r>
        <w:t xml:space="preserve"> et T</w:t>
      </w:r>
      <w:r>
        <w:rPr>
          <w:vertAlign w:val="subscript"/>
        </w:rPr>
        <w:t xml:space="preserve">4</w:t>
      </w:r>
      <w:r>
        <w:t xml:space="preserve">. </w:t>
      </w:r>
      <w:r/>
    </w:p>
    <w:p>
      <w:pPr>
        <w:pStyle w:val="720"/>
        <w:pBdr/>
        <w:spacing/>
        <w:ind/>
        <w:jc w:val="both"/>
        <w:rPr/>
      </w:pPr>
      <w:r>
        <w:t xml:space="preserve">Les glandes surrénales</w:t>
      </w:r>
      <w:r/>
    </w:p>
    <w:p>
      <w:pPr>
        <w:pBdr/>
        <w:spacing/>
        <w:ind/>
        <w:jc w:val="both"/>
        <w:rPr/>
      </w:pPr>
      <w:r>
        <w:t xml:space="preserve">Au pôle supérieur de chaque rein, il faut distinguer au centre la </w:t>
      </w:r>
      <w:r>
        <w:rPr>
          <w:rStyle w:val="734"/>
        </w:rPr>
        <w:t xml:space="preserve">médulla surrénalienne</w:t>
      </w:r>
      <w:r>
        <w:t xml:space="preserve"> et à la périphérie le </w:t>
      </w:r>
      <w:r>
        <w:rPr>
          <w:rStyle w:val="734"/>
        </w:rPr>
        <w:t xml:space="preserve">cortex surrénalien</w:t>
      </w:r>
      <w:r/>
    </w:p>
    <w:p>
      <w:pPr>
        <w:pBdr/>
        <w:spacing/>
        <w:ind/>
        <w:rPr/>
      </w:pPr>
      <w:r>
        <w:t xml:space="preserve">La médulla sécrète l’adrénaline et la noradrénaline. Ces deux hormones préparent aux situations </w:t>
      </w:r>
      <w:r>
        <w:rPr>
          <w:rStyle w:val="733"/>
        </w:rPr>
        <w:t xml:space="preserve">d’urgence ou de stress</w:t>
      </w:r>
      <w:r>
        <w:t xml:space="preserve">. La noradrénaline plasmatique augmente dès 50% de VO2max ; l’adrénaline vers 60/70%. A l’arrêt l’adrénaline descend en quelques minutes, la noradrénaline en qq heures.</w:t>
      </w:r>
      <w:r>
        <w:t xml:space="preserve"> Effet sur le débit sanguin par l’intermédiaire des fibres alpha et bêta adrénergiques.</w:t>
      </w:r>
      <w:r/>
    </w:p>
    <w:p>
      <w:pPr>
        <w:pBdr/>
        <w:spacing/>
        <w:ind/>
        <w:jc w:val="both"/>
        <w:rPr/>
      </w:pPr>
      <w:r>
        <w:t xml:space="preserve">Le cortex surrénalien sécrète plus de trente hormones stéroïdes : les corticostéroïdes divisés en 3 groupes</w:t>
      </w:r>
      <w:r/>
    </w:p>
    <w:p>
      <w:pPr>
        <w:pStyle w:val="756"/>
        <w:numPr>
          <w:ilvl w:val="0"/>
          <w:numId w:val="4"/>
        </w:numPr>
        <w:pBdr/>
        <w:spacing/>
        <w:ind/>
        <w:jc w:val="both"/>
        <w:rPr>
          <w:rStyle w:val="734"/>
        </w:rPr>
      </w:pPr>
      <w:r>
        <w:rPr>
          <w:rStyle w:val="734"/>
        </w:rPr>
        <w:t xml:space="preserve">Minéralocorticoïde </w:t>
      </w:r>
      <w:r>
        <w:rPr>
          <w:rStyle w:val="734"/>
        </w:rPr>
      </w:r>
    </w:p>
    <w:p>
      <w:pPr>
        <w:pStyle w:val="756"/>
        <w:numPr>
          <w:ilvl w:val="0"/>
          <w:numId w:val="4"/>
        </w:numPr>
        <w:pBdr/>
        <w:spacing/>
        <w:ind/>
        <w:jc w:val="both"/>
        <w:rPr/>
      </w:pPr>
      <w:r>
        <w:rPr>
          <w:rStyle w:val="733"/>
        </w:rPr>
        <w:t xml:space="preserve">Glucocorticoïdes</w:t>
      </w:r>
      <w:r>
        <w:t xml:space="preserve">, aident à maintenir la glycémie constante. Le </w:t>
      </w:r>
      <w:r>
        <w:rPr>
          <w:rStyle w:val="733"/>
        </w:rPr>
        <w:t xml:space="preserve">cortisol</w:t>
      </w:r>
      <w:r>
        <w:t xml:space="preserve"> est responsable à lui seul de 95% de l’activité glucocorticoïde, il est connu pour :</w:t>
      </w:r>
      <w:r/>
    </w:p>
    <w:p>
      <w:pPr>
        <w:pStyle w:val="756"/>
        <w:numPr>
          <w:ilvl w:val="1"/>
          <w:numId w:val="4"/>
        </w:numPr>
        <w:pBdr/>
        <w:spacing/>
        <w:ind/>
        <w:jc w:val="both"/>
        <w:rPr/>
      </w:pPr>
      <w:r>
        <w:t xml:space="preserve">Stimuler la gluconéogenèse, augmenter la mobilisation des AGL, diminuer l’utilisation de glucose, stimuler le catabolisme protéique, exercer un effet anti-inflammatoire…</w:t>
      </w:r>
      <w:r/>
    </w:p>
    <w:p>
      <w:pPr>
        <w:pStyle w:val="756"/>
        <w:numPr>
          <w:ilvl w:val="0"/>
          <w:numId w:val="4"/>
        </w:numPr>
        <w:pBdr/>
        <w:spacing/>
        <w:ind/>
        <w:jc w:val="both"/>
        <w:rPr>
          <w:rStyle w:val="734"/>
        </w:rPr>
      </w:pPr>
      <w:r>
        <w:rPr>
          <w:rStyle w:val="734"/>
        </w:rPr>
        <w:t xml:space="preserve">Gonadocorticoïde</w:t>
      </w:r>
      <w:r>
        <w:rPr>
          <w:rStyle w:val="734"/>
        </w:rPr>
      </w:r>
    </w:p>
    <w:p>
      <w:pPr>
        <w:pStyle w:val="720"/>
        <w:pBdr/>
        <w:spacing/>
        <w:ind/>
        <w:jc w:val="both"/>
        <w:rPr/>
      </w:pPr>
      <w:r>
        <w:t xml:space="preserve">Le pancréas</w:t>
      </w:r>
      <w:r/>
    </w:p>
    <w:p>
      <w:pPr>
        <w:pBdr/>
        <w:spacing/>
        <w:ind/>
        <w:jc w:val="both"/>
        <w:rPr/>
      </w:pPr>
      <w:r>
        <w:t xml:space="preserve">Sécrète principalement le </w:t>
      </w:r>
      <w:r>
        <w:rPr>
          <w:rStyle w:val="734"/>
        </w:rPr>
        <w:t xml:space="preserve">glucagon</w:t>
      </w:r>
      <w:r>
        <w:t xml:space="preserve"> et </w:t>
      </w:r>
      <w:r>
        <w:rPr>
          <w:rStyle w:val="734"/>
        </w:rPr>
        <w:t xml:space="preserve">l’insuline</w:t>
      </w:r>
      <w:r>
        <w:t xml:space="preserve">.</w:t>
      </w:r>
      <w:r/>
    </w:p>
    <w:p>
      <w:pPr>
        <w:pBdr/>
        <w:spacing/>
        <w:ind/>
        <w:jc w:val="both"/>
        <w:rPr/>
      </w:pPr>
      <w:r>
        <w:rPr>
          <w:rStyle w:val="733"/>
        </w:rPr>
        <w:t xml:space="preserve">L’insuline</w:t>
      </w:r>
      <w:r>
        <w:t xml:space="preserve"> </w:t>
      </w:r>
      <w:r>
        <w:rPr>
          <w:rStyle w:val="733"/>
        </w:rPr>
        <w:t xml:space="preserve">diminue</w:t>
      </w:r>
      <w:r>
        <w:t xml:space="preserve"> le taux de glucose dans le sang, elle stimule la glycogénogenèse et inhibe la néoglucogenèse. Elle stimule également la synthèse des protéines et des lipides.</w:t>
      </w:r>
      <w:r/>
    </w:p>
    <w:p>
      <w:pPr>
        <w:pBdr/>
        <w:spacing/>
        <w:ind/>
        <w:jc w:val="both"/>
        <w:rPr/>
      </w:pPr>
      <w:r>
        <w:t xml:space="preserve">Le </w:t>
      </w:r>
      <w:r>
        <w:rPr>
          <w:rStyle w:val="733"/>
        </w:rPr>
        <w:t xml:space="preserve">glucagon</w:t>
      </w:r>
      <w:r>
        <w:t xml:space="preserve"> a les </w:t>
      </w:r>
      <w:r>
        <w:rPr>
          <w:rStyle w:val="733"/>
        </w:rPr>
        <w:t xml:space="preserve">effets inverse</w:t>
      </w:r>
      <w:r>
        <w:t xml:space="preserve">. Il stimule la glycogénolyse ainsi que la néoglucogenèse. </w:t>
      </w:r>
      <w:r/>
    </w:p>
    <w:p>
      <w:pPr>
        <w:pBdr/>
        <w:spacing/>
        <w:ind/>
        <w:jc w:val="both"/>
        <w:rPr/>
      </w:pPr>
      <w:r>
        <w:t xml:space="preserve">Lors d’un exercice </w:t>
      </w:r>
      <w:r>
        <w:rPr>
          <w:rStyle w:val="733"/>
        </w:rPr>
        <w:t xml:space="preserve">l’insulinémie baisse</w:t>
      </w:r>
      <w:r>
        <w:t xml:space="preserve">, mais la </w:t>
      </w:r>
      <w:r>
        <w:rPr>
          <w:rStyle w:val="733"/>
        </w:rPr>
        <w:t xml:space="preserve">glycémie se maintient</w:t>
      </w:r>
      <w:r>
        <w:t xml:space="preserve">. Le </w:t>
      </w:r>
      <w:r>
        <w:rPr>
          <w:rStyle w:val="733"/>
        </w:rPr>
        <w:t xml:space="preserve">glucagon lui monte</w:t>
      </w:r>
      <w:r>
        <w:t xml:space="preserve"> pendant toute la durée de l’exercice, stimulant la glycogénolyse hépatique. Ces réponses hormonales sont atténuées chez les sujets entraînés.</w:t>
      </w:r>
      <w:r/>
    </w:p>
    <w:p>
      <w:pPr>
        <w:pBdr/>
        <w:spacing/>
        <w:ind/>
        <w:jc w:val="both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0720" cy="3117850"/>
                <wp:effectExtent l="0" t="0" r="0" b="6350"/>
                <wp:docPr id="3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60720" cy="3117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53.60pt;height:245.50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/>
    </w:p>
    <w:p>
      <w:pPr>
        <w:pStyle w:val="719"/>
        <w:pBdr/>
        <w:spacing/>
        <w:ind/>
        <w:jc w:val="both"/>
        <w:rPr/>
      </w:pPr>
      <w:r>
        <w:t xml:space="preserve">Régulation du métabolisme du glucose à l’exercice</w:t>
      </w:r>
      <w:r/>
    </w:p>
    <w:p>
      <w:pPr>
        <w:pStyle w:val="720"/>
        <w:pBdr/>
        <w:spacing/>
        <w:ind/>
        <w:jc w:val="both"/>
        <w:rPr/>
      </w:pPr>
      <w:r>
        <w:t xml:space="preserve">La concentration plasmique du glucose</w:t>
      </w:r>
      <w:r/>
    </w:p>
    <w:p>
      <w:pPr>
        <w:pBdr/>
        <w:spacing/>
        <w:ind/>
        <w:jc w:val="both"/>
        <w:rPr/>
      </w:pPr>
      <w:r>
        <w:t xml:space="preserve">Déterminée par la consommation musculaire et par son débit de production hépatique. </w:t>
      </w:r>
      <w:r>
        <w:rPr>
          <w:rStyle w:val="733"/>
        </w:rPr>
        <w:t xml:space="preserve">4 hormones</w:t>
      </w:r>
      <w:r>
        <w:t xml:space="preserve"> permettent d’augmenter la quantité de glucose plasmique :</w:t>
      </w:r>
      <w:r/>
    </w:p>
    <w:p>
      <w:pPr>
        <w:pStyle w:val="756"/>
        <w:numPr>
          <w:ilvl w:val="0"/>
          <w:numId w:val="5"/>
        </w:numPr>
        <w:pBdr/>
        <w:spacing/>
        <w:ind/>
        <w:jc w:val="both"/>
        <w:rPr>
          <w:rStyle w:val="733"/>
        </w:rPr>
      </w:pPr>
      <w:r>
        <w:rPr>
          <w:rStyle w:val="733"/>
        </w:rPr>
        <w:t xml:space="preserve">L’adrénaline</w:t>
      </w:r>
      <w:r>
        <w:rPr>
          <w:rStyle w:val="733"/>
        </w:rPr>
      </w:r>
    </w:p>
    <w:p>
      <w:pPr>
        <w:pStyle w:val="756"/>
        <w:numPr>
          <w:ilvl w:val="0"/>
          <w:numId w:val="5"/>
        </w:numPr>
        <w:pBdr/>
        <w:spacing/>
        <w:ind/>
        <w:jc w:val="both"/>
        <w:rPr>
          <w:rStyle w:val="733"/>
        </w:rPr>
      </w:pPr>
      <w:r>
        <w:rPr>
          <w:rStyle w:val="733"/>
        </w:rPr>
        <w:t xml:space="preserve">La noradrénaline</w:t>
      </w:r>
      <w:r>
        <w:rPr>
          <w:rStyle w:val="733"/>
        </w:rPr>
      </w:r>
    </w:p>
    <w:p>
      <w:pPr>
        <w:pStyle w:val="756"/>
        <w:numPr>
          <w:ilvl w:val="0"/>
          <w:numId w:val="5"/>
        </w:numPr>
        <w:pBdr/>
        <w:spacing/>
        <w:ind/>
        <w:jc w:val="both"/>
        <w:rPr>
          <w:rStyle w:val="733"/>
        </w:rPr>
      </w:pPr>
      <w:r>
        <w:rPr>
          <w:rStyle w:val="733"/>
        </w:rPr>
        <w:t xml:space="preserve">Le glucagon</w:t>
      </w:r>
      <w:r>
        <w:rPr>
          <w:rStyle w:val="733"/>
        </w:rPr>
      </w:r>
    </w:p>
    <w:p>
      <w:pPr>
        <w:pStyle w:val="756"/>
        <w:numPr>
          <w:ilvl w:val="0"/>
          <w:numId w:val="5"/>
        </w:numPr>
        <w:pBdr/>
        <w:spacing/>
        <w:ind/>
        <w:jc w:val="both"/>
        <w:rPr>
          <w:rStyle w:val="733"/>
        </w:rPr>
      </w:pPr>
      <w:r>
        <w:rPr>
          <w:rStyle w:val="733"/>
        </w:rPr>
        <w:t xml:space="preserve">Le cortisol</w:t>
      </w:r>
      <w:r>
        <w:rPr>
          <w:rStyle w:val="733"/>
        </w:rPr>
        <w:t xml:space="preserve">, </w:t>
      </w:r>
      <w:r>
        <w:rPr>
          <w:rStyle w:val="733"/>
          <w:i w:val="0"/>
          <w:iCs w:val="0"/>
          <w:color w:val="auto"/>
          <w:sz w:val="21"/>
          <w:szCs w:val="21"/>
        </w:rPr>
        <w:t xml:space="preserve">au bout de 30/45 minutes, activant le catabolisme protéique</w:t>
      </w:r>
      <w:r>
        <w:rPr>
          <w:rStyle w:val="733"/>
        </w:rPr>
      </w:r>
    </w:p>
    <w:p>
      <w:pPr>
        <w:pBdr/>
        <w:spacing/>
        <w:ind/>
        <w:jc w:val="both"/>
        <w:rPr/>
      </w:pPr>
      <w:r>
        <w:t xml:space="preserve">La glycémie peut monter lors d’exercice pas trop longs car le muscle utilise d’abord ses stocks de glycogène, et le glucose libéré par le foie peut rester dans le sang.</w:t>
      </w:r>
      <w:r/>
    </w:p>
    <w:p>
      <w:pPr>
        <w:pBdr/>
        <w:spacing/>
        <w:ind/>
        <w:jc w:val="both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0720" cy="2950210"/>
                <wp:effectExtent l="0" t="0" r="0" b="2540"/>
                <wp:docPr id="4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60720" cy="2950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53.60pt;height:232.30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/>
    </w:p>
    <w:p>
      <w:pPr>
        <w:pStyle w:val="720"/>
        <w:pBdr/>
        <w:spacing/>
        <w:ind/>
        <w:jc w:val="both"/>
        <w:rPr/>
      </w:pPr>
      <w:r>
        <w:t xml:space="preserve">Le prélèvement du glucose par les muscles</w:t>
      </w:r>
      <w:r/>
    </w:p>
    <w:p>
      <w:pPr>
        <w:pBdr/>
        <w:spacing/>
        <w:ind/>
        <w:jc w:val="both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170281</wp:posOffset>
                </wp:positionV>
                <wp:extent cx="2820205" cy="1565453"/>
                <wp:effectExtent l="0" t="0" r="0" b="0"/>
                <wp:wrapSquare wrapText="bothSides"/>
                <wp:docPr id="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820205" cy="15654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251660288;o:allowoverlap:true;o:allowincell:true;mso-position-horizontal-relative:margin;mso-position-horizontal:left;mso-position-vertical-relative:text;margin-top:13.41pt;mso-position-vertical:absolute;width:222.06pt;height:123.26pt;mso-wrap-distance-left:9.00pt;mso-wrap-distance-top:0.00pt;mso-wrap-distance-right:9.00pt;mso-wrap-distance-bottom:0.00pt;z-index:1;" stroked="false">
                <w10:wrap type="square"/>
                <v:imagedata r:id="rId14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jc w:val="both"/>
        <w:rPr/>
      </w:pPr>
      <w:r>
        <w:t xml:space="preserve">L’insuline </w:t>
      </w:r>
      <w:r>
        <w:rPr>
          <w:rStyle w:val="733"/>
        </w:rPr>
        <w:t xml:space="preserve">facilite l’entrée du glucose</w:t>
      </w:r>
      <w:r>
        <w:t xml:space="preserve"> dans la fibre musculaire. </w:t>
      </w:r>
      <w:r/>
    </w:p>
    <w:p>
      <w:pPr>
        <w:pBdr/>
        <w:spacing/>
        <w:ind/>
        <w:jc w:val="both"/>
        <w:rPr/>
      </w:pPr>
      <w:r>
        <w:t xml:space="preserve">Schéma rappelle que l’activité d’une hormone dépend de sa concentration mais aussi de la </w:t>
      </w:r>
      <w:r>
        <w:rPr>
          <w:rStyle w:val="733"/>
        </w:rPr>
        <w:t xml:space="preserve">sensibilité cellulaire</w:t>
      </w:r>
      <w:r>
        <w:t xml:space="preserve">. En effet, l’exercice améliore la liaison de l’insuline aux récepteurs des fibres.</w:t>
      </w:r>
      <w:r/>
    </w:p>
    <w:p>
      <w:pPr>
        <w:pBdr/>
        <w:spacing/>
        <w:ind/>
        <w:jc w:val="both"/>
        <w:rPr/>
      </w:pPr>
      <w:r/>
      <w:r/>
    </w:p>
    <w:p>
      <w:pPr>
        <w:pStyle w:val="720"/>
        <w:pBdr/>
        <w:spacing/>
        <w:ind/>
        <w:jc w:val="both"/>
        <w:rPr/>
      </w:pPr>
      <w:r>
        <w:t xml:space="preserve">Interaction système nerveux central – système endocrinien</w:t>
      </w:r>
      <w:r/>
    </w:p>
    <w:p>
      <w:pPr>
        <w:pBdr/>
        <w:spacing/>
        <w:ind/>
        <w:jc w:val="both"/>
        <w:rPr/>
      </w:pPr>
      <w:r>
        <w:t xml:space="preserve">Le système nerveux central est très sensible au glucose et détecte alors les hormones notamment l’insuline.</w:t>
      </w:r>
      <w:r/>
    </w:p>
    <w:p>
      <w:pPr>
        <w:pStyle w:val="719"/>
        <w:pBdr/>
        <w:spacing/>
        <w:ind/>
        <w:jc w:val="both"/>
        <w:rPr/>
      </w:pPr>
      <w:r>
        <w:t xml:space="preserve">Régulation du métabolisme des lipides à l’exercice</w:t>
      </w:r>
      <w:r/>
    </w:p>
    <w:p>
      <w:pPr>
        <w:pBdr/>
        <w:spacing/>
        <w:ind/>
        <w:jc w:val="both"/>
        <w:rPr/>
      </w:pPr>
      <w:r>
        <w:t xml:space="preserve">Lorsque les réserves glucidiques sont faibles, l’organisme utilise l’oxydation des lipides. Ceci est facilité par le </w:t>
      </w:r>
      <w:r>
        <w:rPr>
          <w:rStyle w:val="733"/>
        </w:rPr>
        <w:t xml:space="preserve">glucagon</w:t>
      </w:r>
      <w:r>
        <w:t xml:space="preserve">, </w:t>
      </w:r>
      <w:r>
        <w:rPr>
          <w:rStyle w:val="733"/>
        </w:rPr>
        <w:t xml:space="preserve">cortisol, l’hormone de croissance, l’adrénaline et la noradrénaline</w:t>
      </w:r>
      <w:r>
        <w:t xml:space="preserve">. L’insuline a un effet inverse. Le cortisol a un pic au bout de 30 à 45min puis revient à son niveau basal. </w:t>
      </w:r>
      <w:r/>
    </w:p>
    <w:p>
      <w:pPr>
        <w:pBdr/>
        <w:spacing/>
        <w:ind/>
        <w:jc w:val="both"/>
        <w:rPr/>
      </w:pPr>
      <w:r>
        <w:t xml:space="preserve">La lipolyse augmente avec la durée et l’intensité de l’exercice.</w:t>
      </w:r>
      <w:r/>
    </w:p>
    <w:p>
      <w:pPr>
        <w:pStyle w:val="718"/>
        <w:pBdr/>
        <w:spacing/>
        <w:ind/>
        <w:jc w:val="both"/>
        <w:rPr/>
      </w:pPr>
      <w:r>
        <w:t xml:space="preserve">Régulation hormonale de l’équilibre hydroélectrolytique à l’exercice</w:t>
      </w:r>
      <w:r/>
    </w:p>
    <w:p>
      <w:pPr>
        <w:pBdr/>
        <w:spacing/>
        <w:ind/>
        <w:jc w:val="both"/>
        <w:rPr/>
      </w:pPr>
      <w:r>
        <w:t xml:space="preserve">Dès le début de l’exercice, l’eau diffuse du milieu sanguin vers les espaces interstitiels et intracellulaires. On a également une augmentation des déchets métaboliques et donc de la pression osmotique créant un appel d’eau. + la sudation</w:t>
      </w:r>
      <w:r/>
    </w:p>
    <w:p>
      <w:pPr>
        <w:pStyle w:val="719"/>
        <w:pBdr/>
        <w:spacing/>
        <w:ind/>
        <w:jc w:val="both"/>
        <w:rPr/>
      </w:pPr>
      <w:r>
        <w:t xml:space="preserve">Les glandes endocrines impliquées dans la régulation de l’équilibire hydroélectrolytique à l’exercice</w:t>
      </w:r>
      <w:r/>
    </w:p>
    <w:p>
      <w:pPr>
        <w:pStyle w:val="720"/>
        <w:pBdr/>
        <w:spacing/>
        <w:ind/>
        <w:jc w:val="both"/>
        <w:rPr/>
      </w:pPr>
      <w:r>
        <w:t xml:space="preserve">Le lobe postérieur de l’hypophyse</w:t>
      </w:r>
      <w:r/>
    </w:p>
    <w:p>
      <w:pPr>
        <w:pBdr/>
        <w:spacing/>
        <w:ind/>
        <w:jc w:val="both"/>
        <w:rPr/>
      </w:pPr>
      <w:r>
        <w:t xml:space="preserve">Excroissance du tissu nerveux de l’hypothalamus, on l’appelle aussi </w:t>
      </w:r>
      <w:r>
        <w:rPr>
          <w:rStyle w:val="734"/>
        </w:rPr>
        <w:t xml:space="preserve">neurohypophyse</w:t>
      </w:r>
      <w:r>
        <w:t xml:space="preserve">.</w:t>
      </w:r>
      <w:r/>
    </w:p>
    <w:p>
      <w:pPr>
        <w:pBdr/>
        <w:spacing/>
        <w:ind/>
        <w:jc w:val="both"/>
        <w:rPr/>
      </w:pPr>
      <w:r>
        <w:t xml:space="preserve">2 hormones synthétisées dans l’hypothalamus, stockées dans des vésicules nerveuses terminales de la neurohypophyse.</w:t>
      </w:r>
      <w:r/>
    </w:p>
    <w:p>
      <w:pPr>
        <w:pStyle w:val="756"/>
        <w:numPr>
          <w:ilvl w:val="0"/>
          <w:numId w:val="6"/>
        </w:numPr>
        <w:pBdr/>
        <w:spacing/>
        <w:ind/>
        <w:jc w:val="both"/>
        <w:rPr>
          <w:rStyle w:val="733"/>
        </w:rPr>
      </w:pPr>
      <w:r>
        <w:rPr>
          <w:rStyle w:val="733"/>
        </w:rPr>
        <w:t xml:space="preserve">Ocytocine</w:t>
      </w:r>
      <w:r>
        <w:rPr>
          <w:rStyle w:val="733"/>
        </w:rPr>
      </w:r>
    </w:p>
    <w:p>
      <w:pPr>
        <w:pStyle w:val="756"/>
        <w:numPr>
          <w:ilvl w:val="0"/>
          <w:numId w:val="6"/>
        </w:numPr>
        <w:pBdr/>
        <w:spacing/>
        <w:ind/>
        <w:jc w:val="both"/>
        <w:rPr>
          <w:rStyle w:val="733"/>
        </w:rPr>
      </w:pPr>
      <w:r>
        <w:rPr>
          <w:rStyle w:val="733"/>
        </w:rPr>
        <w:t xml:space="preserve">ADH (antidiurétique)</w:t>
      </w:r>
      <w:r>
        <w:rPr>
          <w:rStyle w:val="733"/>
        </w:rPr>
        <w:t xml:space="preserve"> : rétention d’eau au niveau des reins</w:t>
      </w:r>
      <w:r>
        <w:rPr>
          <w:rStyle w:val="733"/>
        </w:rPr>
      </w:r>
    </w:p>
    <w:p>
      <w:pPr>
        <w:pBdr/>
        <w:spacing/>
        <w:ind/>
        <w:jc w:val="both"/>
        <w:rPr/>
      </w:pPr>
      <w:r>
        <w:t xml:space="preserve">L’ADH perme</w:t>
      </w:r>
      <w:r>
        <w:t xml:space="preserve">t la conservation de l’eau en augmentant la perméabilité du tube collecteur du rein : diminution des pertes d’eau par les urines. Les pertes d’eau induites par l’exercice entraînent une augmentation des concentration électrolytiques dans le plasma : c’est </w:t>
      </w:r>
      <w:r>
        <w:rPr>
          <w:rStyle w:val="733"/>
        </w:rPr>
        <w:t xml:space="preserve">l’hémoconcentration</w:t>
      </w:r>
      <w:r>
        <w:t xml:space="preserve"> qui entraine une </w:t>
      </w:r>
      <w:r>
        <w:rPr>
          <w:rStyle w:val="733"/>
        </w:rPr>
        <w:t xml:space="preserve">osmolarité</w:t>
      </w:r>
      <w:r>
        <w:t xml:space="preserve"> plasmatique.</w:t>
      </w:r>
      <w:r/>
    </w:p>
    <w:tbl>
      <w:tblPr>
        <w:tblW w:w="0" w:type="auto"/>
        <w:tblBorders/>
        <w:tblLook w:val="04A0" w:firstRow="1" w:lastRow="0" w:firstColumn="1" w:lastColumn="0" w:noHBand="0" w:noVBand="1"/>
        <w:tblStyle w:val="757"/>
      </w:tblPr>
      <w:tblGrid>
        <w:gridCol w:w="9062"/>
      </w:tblGrid>
      <w:tr>
        <w:trPr/>
        <w:tc>
          <w:tcPr>
            <w:shd w:val="clear" w:color="auto" w:fill="fbe4d5" w:themeFill="accent2" w:themeFillTint="3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62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Bdr/>
              <w:spacing/>
              <w:ind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Unité : osmole</w:t>
            </w:r>
            <w:r>
              <w:rPr>
                <w:b/>
                <w:bCs/>
              </w:rPr>
            </w:r>
          </w:p>
          <w:p>
            <w:pPr>
              <w:pBdr/>
              <w:spacing/>
              <w:ind/>
              <w:jc w:val="both"/>
              <w:rPr/>
            </w:pPr>
            <w:r>
              <w:t xml:space="preserve">Correspond au </w:t>
            </w:r>
            <w:r>
              <w:rPr>
                <w:rStyle w:val="733"/>
              </w:rPr>
              <w:t xml:space="preserve">nombre de particule</w:t>
            </w:r>
            <w:r>
              <w:rPr>
                <w:rStyle w:val="733"/>
              </w:rPr>
              <w:t xml:space="preserve">s</w:t>
            </w:r>
            <w:r>
              <w:rPr>
                <w:rStyle w:val="733"/>
              </w:rPr>
              <w:t xml:space="preserve"> dans les compartiments liquidiens</w:t>
            </w:r>
            <w:r>
              <w:t xml:space="preserve"> (intracellulaire, plasmatique et interstitiel)</w:t>
            </w:r>
            <w:r/>
          </w:p>
          <w:p>
            <w:pPr>
              <w:pBdr/>
              <w:spacing/>
              <w:ind/>
              <w:jc w:val="both"/>
              <w:rPr/>
            </w:pPr>
            <w:r/>
            <w:r/>
          </w:p>
          <w:p>
            <w:pPr>
              <w:pBdr/>
              <w:spacing/>
              <w:ind/>
              <w:jc w:val="both"/>
              <w:rPr/>
            </w:pPr>
            <w:r>
              <w:t xml:space="preserve">La concentration en osmole par litre exprime </w:t>
            </w:r>
            <w:r>
              <w:rPr>
                <w:b/>
                <w:bCs/>
              </w:rPr>
              <w:t xml:space="preserve">l’osmolarité</w:t>
            </w:r>
            <w:r/>
          </w:p>
          <w:p>
            <w:pPr>
              <w:pBdr/>
              <w:spacing/>
              <w:ind/>
              <w:jc w:val="both"/>
              <w:rPr/>
            </w:pPr>
            <w:r/>
            <w:r/>
          </w:p>
          <w:p>
            <w:pPr>
              <w:pBdr/>
              <w:spacing/>
              <w:ind/>
              <w:jc w:val="both"/>
              <w:rPr>
                <w:rStyle w:val="734"/>
              </w:rPr>
            </w:pPr>
            <w:r>
              <w:t xml:space="preserve">Concentration en temps normal au repos : </w:t>
            </w:r>
            <w:r>
              <w:rPr>
                <w:rStyle w:val="734"/>
              </w:rPr>
              <w:t xml:space="preserve">300 mOsml.L-1</w:t>
            </w:r>
            <w:r>
              <w:rPr>
                <w:rStyle w:val="734"/>
              </w:rPr>
            </w:r>
          </w:p>
          <w:p>
            <w:pPr>
              <w:pBdr/>
              <w:spacing/>
              <w:ind/>
              <w:jc w:val="both"/>
              <w:rPr/>
            </w:pPr>
            <w:r>
              <w:t xml:space="preserve">Concentration différente engendre mouvements d’eau</w:t>
            </w:r>
            <w:r/>
          </w:p>
          <w:p>
            <w:pPr>
              <w:pBdr/>
              <w:spacing/>
              <w:ind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</w:r>
            <w:r>
              <w:rPr>
                <w:vertAlign w:val="superscript"/>
              </w:rPr>
            </w:r>
          </w:p>
        </w:tc>
      </w:tr>
    </w:tbl>
    <w:p>
      <w:pPr>
        <w:pBdr/>
        <w:spacing/>
        <w:ind/>
        <w:jc w:val="both"/>
        <w:rPr/>
      </w:pPr>
      <w:r/>
      <w:r/>
    </w:p>
    <w:p>
      <w:pPr>
        <w:pStyle w:val="756"/>
        <w:numPr>
          <w:ilvl w:val="0"/>
          <w:numId w:val="7"/>
        </w:numPr>
        <w:pBdr/>
        <w:spacing/>
        <w:ind/>
        <w:jc w:val="both"/>
        <w:rPr/>
      </w:pPr>
      <w:r>
        <w:rPr>
          <w:rStyle w:val="733"/>
        </w:rPr>
        <w:t xml:space="preserve">L’augmentation de l’osmolarité plasmatique</w:t>
      </w:r>
      <w:r>
        <w:t xml:space="preserve">, détectée par les osmorécepteurs de l’hypothalamus, représente le stimulus physiologique primaire de la sécrétion d’ADH.</w:t>
      </w:r>
      <w:r/>
    </w:p>
    <w:p>
      <w:pPr>
        <w:pStyle w:val="756"/>
        <w:numPr>
          <w:ilvl w:val="0"/>
          <w:numId w:val="7"/>
        </w:numPr>
        <w:pBdr/>
        <w:spacing/>
        <w:ind/>
        <w:jc w:val="both"/>
        <w:rPr/>
      </w:pPr>
      <w:r>
        <w:rPr>
          <w:rStyle w:val="733"/>
        </w:rPr>
        <w:t xml:space="preserve">Baisse du volume plasmatique</w:t>
      </w:r>
      <w:r>
        <w:t xml:space="preserve"> détectée par les barorécepteurs du système cardiovasculaire représente un autre stimulus.</w:t>
      </w:r>
      <w:r/>
    </w:p>
    <w:p>
      <w:pPr>
        <w:pStyle w:val="720"/>
        <w:pBdr/>
        <w:spacing/>
        <w:ind/>
        <w:jc w:val="both"/>
        <w:rPr/>
      </w:pPr>
      <w:r>
        <w:t xml:space="preserve">Le cortex surrénalien</w:t>
      </w:r>
      <w:r/>
    </w:p>
    <w:p>
      <w:pPr>
        <w:pBdr/>
        <w:spacing/>
        <w:ind/>
        <w:jc w:val="both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388620</wp:posOffset>
                </wp:positionV>
                <wp:extent cx="2889250" cy="1911412"/>
                <wp:effectExtent l="0" t="0" r="6350" b="0"/>
                <wp:wrapSquare wrapText="bothSides"/>
                <wp:docPr id="6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889250" cy="1911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251661312;o:allowoverlap:true;o:allowincell:true;mso-position-horizontal-relative:text;margin-left:-39.85pt;mso-position-horizontal:absolute;mso-position-vertical-relative:text;margin-top:30.60pt;mso-position-vertical:absolute;width:227.50pt;height:150.50pt;mso-wrap-distance-left:9.00pt;mso-wrap-distance-top:0.00pt;mso-wrap-distance-right:9.00pt;mso-wrap-distance-bottom:0.00pt;z-index:1;" stroked="false">
                <w10:wrap type="square"/>
                <v:imagedata r:id="rId15" o:title=""/>
                <o:lock v:ext="edit" rotation="t"/>
              </v:shape>
            </w:pict>
          </mc:Fallback>
        </mc:AlternateContent>
      </w:r>
      <w:r>
        <w:rPr>
          <w:rStyle w:val="734"/>
        </w:rPr>
        <w:t xml:space="preserve">Aldostérone, et les minéralocorticoïdes</w:t>
      </w:r>
      <w:r>
        <w:t xml:space="preserve"> en général, régulent la balance hydroélectrolytique.</w:t>
      </w:r>
      <w:r/>
    </w:p>
    <w:p>
      <w:pPr>
        <w:pBdr/>
        <w:spacing/>
        <w:ind/>
        <w:jc w:val="both"/>
        <w:rPr/>
      </w:pPr>
      <w:r/>
      <w:r/>
    </w:p>
    <w:p>
      <w:pPr>
        <w:pStyle w:val="756"/>
        <w:numPr>
          <w:ilvl w:val="0"/>
          <w:numId w:val="8"/>
        </w:numPr>
        <w:pBdr/>
        <w:spacing/>
        <w:ind/>
        <w:jc w:val="both"/>
        <w:rPr>
          <w:rStyle w:val="733"/>
        </w:rPr>
      </w:pPr>
      <w:r>
        <w:t xml:space="preserve">Aldostérone agit essentiellement </w:t>
      </w:r>
      <w:r>
        <w:rPr>
          <w:rStyle w:val="733"/>
        </w:rPr>
        <w:t xml:space="preserve">en facilitant la réabsorption du sodium. Donc d’eau, donc excrétion de K+</w:t>
      </w:r>
      <w:r>
        <w:rPr>
          <w:rStyle w:val="733"/>
        </w:rPr>
      </w:r>
    </w:p>
    <w:p>
      <w:pPr>
        <w:pStyle w:val="756"/>
        <w:numPr>
          <w:ilvl w:val="0"/>
          <w:numId w:val="8"/>
        </w:numPr>
        <w:pBdr/>
        <w:spacing/>
        <w:ind/>
        <w:jc w:val="both"/>
        <w:rPr/>
      </w:pPr>
      <w:r>
        <w:t xml:space="preserve">Stimulée par la diminution du sodium plasmatique, diminution du volume sanguin, diminution de la pression artérielle et augmentation de la concentration plasmique en potassium.</w:t>
      </w:r>
      <w:r/>
    </w:p>
    <w:p>
      <w:pPr>
        <w:pStyle w:val="719"/>
        <w:pBdr/>
        <w:spacing/>
        <w:ind/>
        <w:jc w:val="both"/>
        <w:rPr/>
      </w:pPr>
      <w:r>
        <w:t xml:space="preserve">Les reins comme organes endocriniens</w:t>
      </w:r>
      <w:r/>
    </w:p>
    <w:p>
      <w:pPr>
        <w:pBdr/>
        <w:spacing/>
        <w:ind/>
        <w:jc w:val="both"/>
        <w:rPr/>
      </w:pPr>
      <w:r>
        <w:t xml:space="preserve">Deux hormones :</w:t>
      </w:r>
      <w:r/>
    </w:p>
    <w:p>
      <w:pPr>
        <w:pStyle w:val="756"/>
        <w:numPr>
          <w:ilvl w:val="0"/>
          <w:numId w:val="9"/>
        </w:numPr>
        <w:pBdr/>
        <w:spacing/>
        <w:ind/>
        <w:jc w:val="both"/>
        <w:rPr/>
      </w:pPr>
      <w:r>
        <w:rPr>
          <w:rStyle w:val="734"/>
        </w:rPr>
        <w:t xml:space="preserve">Rénine</w:t>
      </w:r>
      <w:r>
        <w:t xml:space="preserve">, en réponse à une diminution de la pression artérielle, permet de convertir de l’angiotensinogène en angiotensine II qui entraine une vasoconstriction et stimule l’aldostérone</w:t>
      </w:r>
      <w:r/>
    </w:p>
    <w:p>
      <w:pPr>
        <w:pStyle w:val="756"/>
        <w:numPr>
          <w:ilvl w:val="0"/>
          <w:numId w:val="9"/>
        </w:numPr>
        <w:pBdr/>
        <w:spacing/>
        <w:ind/>
        <w:jc w:val="both"/>
        <w:rPr/>
      </w:pPr>
      <w:r>
        <w:rPr>
          <w:rStyle w:val="734"/>
        </w:rPr>
        <w:t xml:space="preserve">Erythropoïétine</w:t>
      </w:r>
      <w:r>
        <w:t xml:space="preserve"> (EPO), régule la production des globules rouges du sang (érythrocytes) </w:t>
      </w:r>
      <w:r/>
    </w:p>
    <w:p>
      <w:pPr>
        <w:pBdr/>
        <w:spacing/>
        <w:ind/>
        <w:jc w:val="both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0720" cy="4415790"/>
                <wp:effectExtent l="0" t="0" r="0" b="381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>
                          <a:extLs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760720" cy="441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53.60pt;height:347.70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  <w:r/>
    </w:p>
    <w:p>
      <w:pPr>
        <w:pStyle w:val="718"/>
        <w:pBdr/>
        <w:spacing/>
        <w:ind/>
        <w:jc w:val="both"/>
        <w:rPr/>
      </w:pPr>
      <w:r>
        <w:t xml:space="preserve">Régulation hormonale de l’apport calorique</w:t>
      </w:r>
      <w:r/>
    </w:p>
    <w:p>
      <w:pPr>
        <w:pBdr/>
        <w:spacing/>
        <w:ind/>
        <w:jc w:val="both"/>
        <w:rPr/>
      </w:pPr>
      <w:r>
        <w:t xml:space="preserve">3 phases : </w:t>
      </w:r>
      <w:r/>
    </w:p>
    <w:p>
      <w:pPr>
        <w:pStyle w:val="756"/>
        <w:numPr>
          <w:ilvl w:val="0"/>
          <w:numId w:val="10"/>
        </w:numPr>
        <w:pBdr/>
        <w:spacing/>
        <w:ind/>
        <w:jc w:val="both"/>
        <w:rPr/>
      </w:pPr>
      <w:r>
        <w:rPr>
          <w:rStyle w:val="733"/>
        </w:rPr>
        <w:t xml:space="preserve">Ingestive</w:t>
      </w:r>
      <w:r>
        <w:t xml:space="preserve"> (faim)</w:t>
      </w:r>
      <w:r/>
    </w:p>
    <w:p>
      <w:pPr>
        <w:pStyle w:val="756"/>
        <w:numPr>
          <w:ilvl w:val="0"/>
          <w:numId w:val="10"/>
        </w:numPr>
        <w:pBdr/>
        <w:spacing/>
        <w:ind/>
        <w:jc w:val="both"/>
        <w:rPr/>
      </w:pPr>
      <w:r>
        <w:rPr>
          <w:rStyle w:val="733"/>
        </w:rPr>
        <w:t xml:space="preserve">Prandiale</w:t>
      </w:r>
      <w:r>
        <w:t xml:space="preserve"> (miam)</w:t>
      </w:r>
      <w:r/>
    </w:p>
    <w:p>
      <w:pPr>
        <w:pStyle w:val="756"/>
        <w:numPr>
          <w:ilvl w:val="0"/>
          <w:numId w:val="10"/>
        </w:numPr>
        <w:pBdr/>
        <w:spacing/>
        <w:ind/>
        <w:jc w:val="both"/>
        <w:rPr/>
      </w:pPr>
      <w:r>
        <w:rPr>
          <w:rStyle w:val="733"/>
        </w:rPr>
        <w:t xml:space="preserve">Post-prandiale</w:t>
      </w:r>
      <w:r>
        <w:t xml:space="preserve"> (satiété)</w:t>
      </w:r>
      <w:r/>
    </w:p>
    <w:p>
      <w:pPr>
        <w:pBdr/>
        <w:spacing/>
        <w:ind/>
        <w:jc w:val="both"/>
        <w:rPr/>
      </w:pPr>
      <w:r>
        <w:t xml:space="preserve">Deux types d’hormones : </w:t>
      </w:r>
      <w:r>
        <w:rPr>
          <w:rStyle w:val="733"/>
        </w:rPr>
        <w:t xml:space="preserve">anorexigène</w:t>
      </w:r>
      <w:r>
        <w:t xml:space="preserve">, et </w:t>
      </w:r>
      <w:r>
        <w:rPr>
          <w:rStyle w:val="733"/>
        </w:rPr>
        <w:t xml:space="preserve">orexigène</w:t>
      </w:r>
      <w:r/>
    </w:p>
    <w:p>
      <w:pPr>
        <w:pStyle w:val="719"/>
        <w:pBdr/>
        <w:spacing/>
        <w:ind/>
        <w:jc w:val="both"/>
        <w:rPr/>
      </w:pPr>
      <w:r>
        <w:t xml:space="preserve">Les hormones du tractus gastro-intestinal</w:t>
      </w:r>
      <w:r/>
    </w:p>
    <w:p>
      <w:pPr>
        <w:pBdr/>
        <w:spacing/>
        <w:ind/>
        <w:jc w:val="both"/>
        <w:rPr/>
      </w:pPr>
      <w:r>
        <w:t xml:space="preserve">Anorexigènes :</w:t>
      </w:r>
      <w:r/>
    </w:p>
    <w:p>
      <w:pPr>
        <w:pStyle w:val="756"/>
        <w:numPr>
          <w:ilvl w:val="0"/>
          <w:numId w:val="11"/>
        </w:numPr>
        <w:pBdr/>
        <w:spacing/>
        <w:ind/>
        <w:jc w:val="both"/>
        <w:rPr/>
      </w:pPr>
      <w:r>
        <w:rPr>
          <w:rStyle w:val="733"/>
        </w:rPr>
        <w:t xml:space="preserve">Cholécystokinine </w:t>
      </w:r>
      <w:r>
        <w:t xml:space="preserve">(CCK), quand dilatation gastro-intestinal liée au remplissage de l’estomac, supprime la faim.</w:t>
      </w:r>
      <w:r/>
    </w:p>
    <w:p>
      <w:pPr>
        <w:pStyle w:val="756"/>
        <w:numPr>
          <w:ilvl w:val="0"/>
          <w:numId w:val="11"/>
        </w:numPr>
        <w:pBdr/>
        <w:spacing/>
        <w:ind/>
        <w:jc w:val="both"/>
        <w:rPr/>
      </w:pPr>
      <w:r>
        <w:rPr>
          <w:rStyle w:val="733"/>
        </w:rPr>
        <w:t xml:space="preserve">Également GLP-1 et peptide YY (PYY) </w:t>
      </w:r>
      <w:r>
        <w:t xml:space="preserve">par l’intestin grêle et le gros intestin</w:t>
      </w:r>
      <w:r/>
    </w:p>
    <w:p>
      <w:pPr>
        <w:pStyle w:val="756"/>
        <w:numPr>
          <w:ilvl w:val="0"/>
          <w:numId w:val="11"/>
        </w:numPr>
        <w:pBdr/>
        <w:spacing/>
        <w:ind/>
        <w:jc w:val="both"/>
        <w:rPr/>
      </w:pPr>
      <w:r>
        <w:rPr>
          <w:rStyle w:val="733"/>
        </w:rPr>
        <w:t xml:space="preserve">Insuline </w:t>
      </w:r>
      <w:r>
        <w:t xml:space="preserve">aussi par le pancréas</w:t>
      </w:r>
      <w:r/>
    </w:p>
    <w:p>
      <w:pPr>
        <w:pBdr/>
        <w:spacing/>
        <w:ind/>
        <w:jc w:val="both"/>
        <w:rPr/>
      </w:pPr>
      <w:r>
        <w:t xml:space="preserve"> Orexigène :</w:t>
      </w:r>
      <w:r/>
    </w:p>
    <w:p>
      <w:pPr>
        <w:pStyle w:val="756"/>
        <w:numPr>
          <w:ilvl w:val="0"/>
          <w:numId w:val="12"/>
        </w:numPr>
        <w:pBdr/>
        <w:spacing/>
        <w:ind/>
        <w:jc w:val="both"/>
        <w:rPr/>
      </w:pPr>
      <w:r>
        <w:rPr>
          <w:rStyle w:val="733"/>
        </w:rPr>
        <w:t xml:space="preserve">Ghréline</w:t>
      </w:r>
      <w:r>
        <w:t xml:space="preserve">, sécrétée par le pancréas et l’estomac</w:t>
      </w:r>
      <w:r/>
    </w:p>
    <w:p>
      <w:pPr>
        <w:pStyle w:val="719"/>
        <w:pBdr/>
        <w:spacing/>
        <w:ind/>
        <w:jc w:val="both"/>
        <w:rPr/>
      </w:pPr>
      <w:r>
        <w:t xml:space="preserve">Le tissu adipeux comme glande endocrine</w:t>
      </w:r>
      <w:r/>
    </w:p>
    <w:p>
      <w:pPr>
        <w:pBdr/>
        <w:spacing/>
        <w:ind/>
        <w:jc w:val="both"/>
        <w:rPr/>
      </w:pPr>
      <w:r>
        <w:rPr>
          <w:rStyle w:val="733"/>
        </w:rPr>
        <w:t xml:space="preserve">Leptine </w:t>
      </w:r>
      <w:r>
        <w:t xml:space="preserve">agit pour diminuer la faim. Proportionnelle à la masse grasse, mais possible résistance à la leptine chez les personnes obèses.</w:t>
      </w:r>
      <w:r/>
    </w:p>
    <w:p>
      <w:pPr>
        <w:pStyle w:val="719"/>
        <w:pBdr/>
        <w:spacing/>
        <w:ind/>
        <w:jc w:val="both"/>
        <w:rPr>
          <w:rStyle w:val="733"/>
          <w:rFonts w:asciiTheme="majorHAnsi" w:hAnsiTheme="majorHAnsi" w:eastAsiaTheme="majorEastAsia" w:cstheme="majorBidi"/>
          <w:i w:val="0"/>
          <w:iCs w:val="0"/>
          <w:color w:val="auto"/>
          <w:sz w:val="28"/>
          <w:szCs w:val="28"/>
        </w:rPr>
      </w:pPr>
      <w:r>
        <w:rPr>
          <w:rStyle w:val="733"/>
          <w:rFonts w:asciiTheme="majorHAnsi" w:hAnsiTheme="majorHAnsi" w:eastAsiaTheme="majorEastAsia" w:cstheme="majorBidi"/>
          <w:i w:val="0"/>
          <w:iCs w:val="0"/>
          <w:color w:val="auto"/>
          <w:sz w:val="28"/>
          <w:szCs w:val="28"/>
        </w:rPr>
        <w:t xml:space="preserve">Effets de l’exercice et de l’entraînement sur les hormones de satiété</w:t>
      </w:r>
      <w:r>
        <w:rPr>
          <w:rStyle w:val="733"/>
          <w:rFonts w:asciiTheme="majorHAnsi" w:hAnsiTheme="majorHAnsi" w:eastAsiaTheme="majorEastAsia" w:cstheme="majorBidi"/>
          <w:i w:val="0"/>
          <w:iCs w:val="0"/>
          <w:color w:val="auto"/>
          <w:sz w:val="28"/>
          <w:szCs w:val="28"/>
        </w:rPr>
      </w:r>
    </w:p>
    <w:p>
      <w:pPr>
        <w:pBdr/>
        <w:spacing/>
        <w:ind/>
        <w:jc w:val="both"/>
        <w:rPr/>
      </w:pPr>
      <w:r>
        <w:t xml:space="preserve">En réaction à l’exercice aérobie, diminution de la sécrétion de ghréline.</w:t>
      </w:r>
      <w:r/>
    </w:p>
    <w:p>
      <w:pPr>
        <w:pBdr/>
        <w:spacing/>
        <w:ind/>
        <w:jc w:val="both"/>
        <w:rPr/>
      </w:pPr>
      <w:r>
        <w:t xml:space="preserve">Après l’activité, augmentation de la sensation de faim (PYY)</w:t>
      </w:r>
      <w:r/>
    </w:p>
    <w:p>
      <w:pPr>
        <w:pStyle w:val="717"/>
        <w:pBdr/>
        <w:spacing/>
        <w:ind/>
        <w:rPr>
          <w:highlight w:val="none"/>
        </w:rPr>
      </w:pPr>
      <w:r>
        <w:rPr>
          <w:highlight w:val="none"/>
        </w:rPr>
        <w:t xml:space="preserve">Adaptations hormonales à l’entrainement</w:t>
      </w:r>
      <w:r>
        <w:rPr>
          <w:highlight w:val="none"/>
        </w:rPr>
      </w:r>
    </w:p>
    <w:p>
      <w:pPr>
        <w:pStyle w:val="718"/>
        <w:pBdr/>
        <w:spacing/>
        <w:ind/>
        <w:rPr/>
      </w:pPr>
      <w:r>
        <w:t xml:space="preserve">Effet de l’entraînement sur les hormones pancréatiques</w:t>
      </w:r>
      <w:r/>
    </w:p>
    <w:p>
      <w:pPr>
        <w:pBdr/>
        <w:spacing/>
        <w:ind/>
        <w:rPr/>
      </w:pPr>
      <w:r>
        <w:t xml:space="preserve">Il faut dissocier les adaptations des sécrétions hormonales de celles des récepteurs.</w:t>
      </w:r>
      <w:r/>
    </w:p>
    <w:p>
      <w:pPr>
        <w:pStyle w:val="719"/>
        <w:pBdr/>
        <w:spacing/>
        <w:ind/>
        <w:rPr/>
      </w:pPr>
      <w:r>
        <w:t xml:space="preserve">Les concentrations plasmatiques d’insuline et de glucagon chez le sujet entrainé</w:t>
      </w:r>
      <w:r/>
    </w:p>
    <w:p>
      <w:pPr>
        <w:pBdr/>
        <w:spacing/>
        <w:ind/>
        <w:rPr/>
      </w:pPr>
      <w:r>
        <w:t xml:space="preserve">Concentration d’insuline inférieure chez le sujet entraîné. </w:t>
      </w:r>
      <w:r>
        <w:t xml:space="preserve">Grâce à sensibilité à l’insuline supérieure. La tolérance au glucose est également améliorée. </w:t>
      </w:r>
      <w:r>
        <w:t xml:space="preserve">Il y a corrélation entre VO2max et la sensibilité à l’insuline.</w:t>
      </w:r>
      <w:r/>
    </w:p>
    <w:p>
      <w:pPr>
        <w:pBdr/>
        <w:spacing/>
        <w:ind/>
        <w:rPr/>
      </w:pPr>
      <w:r>
        <w:t xml:space="preserve">L’augmentation du nombre de transporteurs GLUT-4 joue un rôle essentiel dans le processus d’adaptation de sensibilité à l’insuline.</w:t>
      </w:r>
      <w:r>
        <w:t xml:space="preserve"> Il est également possible qu’une adaptation enzymatique (hexokinase, citrate </w:t>
      </w:r>
      <w:r>
        <w:t xml:space="preserve">synthétase</w:t>
      </w:r>
      <w:r>
        <w:t xml:space="preserve">) complète l’</w:t>
      </w:r>
      <w:r>
        <w:t xml:space="preserve">augmentation</w:t>
      </w:r>
      <w:r>
        <w:t xml:space="preserve"> du nombre de transporteurs.</w:t>
      </w:r>
      <w:r/>
    </w:p>
    <w:p>
      <w:pPr>
        <w:pBdr/>
        <w:spacing/>
        <w:ind/>
        <w:rPr/>
      </w:pPr>
      <w:r>
        <w:t xml:space="preserve">De plus, l’entrainement aérobie favorise la transformation des fibres de type IIa en I, plus vascularisées. La densité capillaire est améliorée et la sensibilité à l’insuline alors plus importante.</w:t>
      </w:r>
      <w:r/>
    </w:p>
    <w:p>
      <w:pPr>
        <w:pBdr/>
        <w:spacing/>
        <w:ind/>
        <w:rPr/>
      </w:pPr>
      <w:r>
        <w:t xml:space="preserve">Il y aurait aussi une adaptation au sein même des cellules Beta du pancréas. </w: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>
        <w:t xml:space="preserve">Adaptation à l’insuline est rapide (environ une semaine) mais </w:t>
      </w:r>
      <w:r>
        <w:t xml:space="preserve">Désentraînement</w:t>
      </w:r>
      <w:r>
        <w:t xml:space="preserve"> tout aussi rapide. </w:t>
      </w:r>
      <w:r/>
    </w:p>
    <w:p>
      <w:pPr>
        <w:pBdr/>
        <w:spacing/>
        <w:ind/>
        <w:rPr/>
      </w:pPr>
      <w:r/>
      <w:r/>
    </w:p>
    <w:p>
      <w:pPr>
        <w:pStyle w:val="717"/>
        <w:pBdr/>
        <w:spacing/>
        <w:ind/>
        <w:rPr>
          <w:highlight w:val="none"/>
        </w:rPr>
      </w:pPr>
      <w:r>
        <w:rPr>
          <w:highlight w:val="none"/>
        </w:rPr>
        <w:t xml:space="preserve">Facts</w:t>
      </w:r>
      <w:r>
        <w:rPr>
          <w:highlight w:val="none"/>
        </w:rPr>
      </w:r>
    </w:p>
    <w:p>
      <w:pPr>
        <w:pBdr/>
        <w:spacing/>
        <w:ind/>
        <w:rPr/>
      </w:pPr>
      <w:r>
        <w:t xml:space="preserve">Les concentrations plasmatiques de la noradrénaline sont le meilleur témoin de l’activité neuronale du SNS.</w:t>
      </w:r>
      <w:r/>
    </w:p>
    <w:p>
      <w:pPr>
        <w:pBdr/>
        <w:spacing/>
        <w:ind/>
        <w:rPr/>
      </w:pPr>
      <w:r>
        <w:t xml:space="preserve">L’exercice aigu se caractérise par une élévation modérée des androgènes. </w:t>
      </w:r>
      <w:r/>
    </w:p>
    <w:sectPr>
      <w:footnotePr/>
      <w:endnotePr/>
      <w:type w:val="nextPage"/>
      <w:pgSz w:h="16838" w:orient="portrait" w:w="11906"/>
      <w:pgMar w:top="1417" w:right="1417" w:bottom="1417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TwCenMT-Regular">
    <w:panose1 w:val="05040102010807070707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%1"/>
      <w:numFmt w:val="decimal"/>
      <w:pPr>
        <w:pBdr/>
        <w:spacing/>
        <w:ind w:hanging="360" w:left="720"/>
      </w:pPr>
      <w:rPr>
        <w:rFonts w:hint="default"/>
      </w:rPr>
      <w:start w:val="2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TwCenMT-Regular" w:hAnsi="TwCenMT-Regular" w:cs="TwCenMT-Regular" w:eastAsiaTheme="minorHAns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3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5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6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7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8">
    <w:lvl w:ilvl="0">
      <w:isLgl w:val="false"/>
      <w:lvlJc w:val="left"/>
      <w:lvlText w:val="%1"/>
      <w:numFmt w:val="decimal"/>
      <w:pPr>
        <w:pBdr/>
        <w:spacing/>
        <w:ind w:hanging="360" w:left="720"/>
      </w:pPr>
      <w:rPr>
        <w:rFonts w:hint="default"/>
      </w:rPr>
      <w:start w:val="5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9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0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1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2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TwCenMT-Regular" w:hAnsi="TwCenMT-Regular" w:cs="TwCenMT-Regular" w:eastAsiaTheme="minorHAns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3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4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5">
    <w:lvl w:ilvl="0">
      <w:isLgl w:val="false"/>
      <w:lvlJc w:val="left"/>
      <w:lvlText w:val="%1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6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7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8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9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hint="default" w:ascii="TwCenMT-Regular" w:hAnsi="TwCenMT-Regular" w:cs="TwCenMT-Regular" w:eastAsiaTheme="minorHAnsi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0">
    <w:lvl w:ilvl="0">
      <w:isLgl w:val="false"/>
      <w:lvlJc w:val="left"/>
      <w:lvlText w:val="%1"/>
      <w:numFmt w:val="decimal"/>
      <w:pPr>
        <w:pBdr/>
        <w:spacing/>
        <w:ind w:hanging="360" w:left="720"/>
      </w:pPr>
      <w:rPr>
        <w:rFonts w:hint="default"/>
      </w:rPr>
      <w:start w:val="4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1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2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3">
    <w:lvl w:ilvl="0">
      <w:isLgl w:val="false"/>
      <w:lvlJc w:val="left"/>
      <w:lvlText w:val="%1"/>
      <w:numFmt w:val="decimal"/>
      <w:pPr>
        <w:pBdr/>
        <w:spacing/>
        <w:ind w:hanging="360" w:left="720"/>
      </w:pPr>
      <w:rPr>
        <w:rFonts w:hint="default"/>
      </w:rPr>
      <w:start w:val="3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4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5">
    <w:lvl w:ilvl="0">
      <w:isLgl w:val="false"/>
      <w:lvlJc w:val="left"/>
      <w:lvlText w:val="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22"/>
  </w:num>
  <w:num w:numId="5">
    <w:abstractNumId w:val="25"/>
  </w:num>
  <w:num w:numId="6">
    <w:abstractNumId w:val="16"/>
  </w:num>
  <w:num w:numId="7">
    <w:abstractNumId w:val="0"/>
  </w:num>
  <w:num w:numId="8">
    <w:abstractNumId w:val="5"/>
  </w:num>
  <w:num w:numId="9">
    <w:abstractNumId w:val="14"/>
  </w:num>
  <w:num w:numId="10">
    <w:abstractNumId w:val="17"/>
  </w:num>
  <w:num w:numId="11">
    <w:abstractNumId w:val="4"/>
  </w:num>
  <w:num w:numId="12">
    <w:abstractNumId w:val="13"/>
  </w:num>
  <w:num w:numId="13">
    <w:abstractNumId w:val="8"/>
  </w:num>
  <w:num w:numId="14">
    <w:abstractNumId w:val="20"/>
  </w:num>
  <w:num w:numId="15">
    <w:abstractNumId w:val="23"/>
  </w:num>
  <w:num w:numId="16">
    <w:abstractNumId w:val="1"/>
  </w:num>
  <w:num w:numId="17">
    <w:abstractNumId w:val="15"/>
  </w:num>
  <w:num w:numId="18">
    <w:abstractNumId w:val="24"/>
  </w:num>
  <w:num w:numId="19">
    <w:abstractNumId w:val="11"/>
  </w:num>
  <w:num w:numId="20">
    <w:abstractNumId w:val="3"/>
  </w:num>
  <w:num w:numId="21">
    <w:abstractNumId w:val="21"/>
  </w:num>
  <w:num w:numId="22">
    <w:abstractNumId w:val="10"/>
  </w:num>
  <w:num w:numId="23">
    <w:abstractNumId w:val="2"/>
  </w:num>
  <w:num w:numId="24">
    <w:abstractNumId w:val="19"/>
  </w:num>
  <w:num w:numId="25">
    <w:abstractNumId w:val="12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1"/>
        <w:szCs w:val="21"/>
        <w:lang w:val="fr-FR" w:eastAsia="en-US" w:bidi="ar-SA"/>
      </w:rPr>
    </w:rPrDefault>
    <w:pPrDefault>
      <w:pPr>
        <w:pBdr/>
        <w:spacing w:after="160" w:afterAutospacing="0" w:before="0" w:beforeAutospacing="0" w:line="312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2">
    <w:name w:val="Table Grid Light"/>
    <w:basedOn w:val="72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72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72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72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72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72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72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72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72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72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72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72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49">
    <w:name w:val="Heading 1 Char"/>
    <w:basedOn w:val="726"/>
    <w:link w:val="71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726"/>
    <w:link w:val="71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726"/>
    <w:link w:val="71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726"/>
    <w:link w:val="72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726"/>
    <w:link w:val="72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726"/>
    <w:link w:val="72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726"/>
    <w:link w:val="72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726"/>
    <w:link w:val="72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726"/>
    <w:link w:val="72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9">
    <w:name w:val="Title Char"/>
    <w:basedOn w:val="726"/>
    <w:link w:val="731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161">
    <w:name w:val="Subtitle Char"/>
    <w:basedOn w:val="726"/>
    <w:link w:val="74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3">
    <w:name w:val="Quote Char"/>
    <w:basedOn w:val="726"/>
    <w:link w:val="747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7">
    <w:name w:val="Intense Quote Char"/>
    <w:basedOn w:val="726"/>
    <w:link w:val="749"/>
    <w:uiPriority w:val="30"/>
    <w:pPr>
      <w:pBdr/>
      <w:spacing/>
      <w:ind/>
    </w:pPr>
    <w:rPr>
      <w:i/>
      <w:iCs/>
      <w:color w:val="0f4761" w:themeColor="accent1" w:themeShade="BF"/>
    </w:rPr>
  </w:style>
  <w:style w:type="paragraph" w:styleId="175">
    <w:name w:val="Header"/>
    <w:basedOn w:val="716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726"/>
    <w:link w:val="175"/>
    <w:uiPriority w:val="99"/>
    <w:pPr>
      <w:pBdr/>
      <w:spacing/>
      <w:ind/>
    </w:pPr>
  </w:style>
  <w:style w:type="paragraph" w:styleId="177">
    <w:name w:val="Footer"/>
    <w:basedOn w:val="716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726"/>
    <w:link w:val="177"/>
    <w:uiPriority w:val="99"/>
    <w:pPr>
      <w:pBdr/>
      <w:spacing/>
      <w:ind/>
    </w:pPr>
  </w:style>
  <w:style w:type="paragraph" w:styleId="180">
    <w:name w:val="footnote text"/>
    <w:basedOn w:val="716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726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726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716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726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726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726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72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8">
    <w:name w:val="toc 1"/>
    <w:basedOn w:val="716"/>
    <w:next w:val="716"/>
    <w:uiPriority w:val="39"/>
    <w:unhideWhenUsed/>
    <w:pPr>
      <w:pBdr/>
      <w:spacing w:after="100"/>
      <w:ind/>
    </w:pPr>
  </w:style>
  <w:style w:type="paragraph" w:styleId="189">
    <w:name w:val="toc 2"/>
    <w:basedOn w:val="716"/>
    <w:next w:val="716"/>
    <w:uiPriority w:val="39"/>
    <w:unhideWhenUsed/>
    <w:pPr>
      <w:pBdr/>
      <w:spacing w:after="100"/>
      <w:ind w:left="220"/>
    </w:pPr>
  </w:style>
  <w:style w:type="paragraph" w:styleId="190">
    <w:name w:val="toc 3"/>
    <w:basedOn w:val="716"/>
    <w:next w:val="716"/>
    <w:uiPriority w:val="39"/>
    <w:unhideWhenUsed/>
    <w:pPr>
      <w:pBdr/>
      <w:spacing w:after="100"/>
      <w:ind w:left="440"/>
    </w:pPr>
  </w:style>
  <w:style w:type="paragraph" w:styleId="191">
    <w:name w:val="toc 4"/>
    <w:basedOn w:val="716"/>
    <w:next w:val="716"/>
    <w:uiPriority w:val="39"/>
    <w:unhideWhenUsed/>
    <w:pPr>
      <w:pBdr/>
      <w:spacing w:after="100"/>
      <w:ind w:left="660"/>
    </w:pPr>
  </w:style>
  <w:style w:type="paragraph" w:styleId="192">
    <w:name w:val="toc 5"/>
    <w:basedOn w:val="716"/>
    <w:next w:val="716"/>
    <w:uiPriority w:val="39"/>
    <w:unhideWhenUsed/>
    <w:pPr>
      <w:pBdr/>
      <w:spacing w:after="100"/>
      <w:ind w:left="880"/>
    </w:pPr>
  </w:style>
  <w:style w:type="paragraph" w:styleId="193">
    <w:name w:val="toc 6"/>
    <w:basedOn w:val="716"/>
    <w:next w:val="716"/>
    <w:uiPriority w:val="39"/>
    <w:unhideWhenUsed/>
    <w:pPr>
      <w:pBdr/>
      <w:spacing w:after="100"/>
      <w:ind w:left="1100"/>
    </w:pPr>
  </w:style>
  <w:style w:type="paragraph" w:styleId="194">
    <w:name w:val="toc 7"/>
    <w:basedOn w:val="716"/>
    <w:next w:val="716"/>
    <w:uiPriority w:val="39"/>
    <w:unhideWhenUsed/>
    <w:pPr>
      <w:pBdr/>
      <w:spacing w:after="100"/>
      <w:ind w:left="1320"/>
    </w:pPr>
  </w:style>
  <w:style w:type="paragraph" w:styleId="195">
    <w:name w:val="toc 8"/>
    <w:basedOn w:val="716"/>
    <w:next w:val="716"/>
    <w:uiPriority w:val="39"/>
    <w:unhideWhenUsed/>
    <w:pPr>
      <w:pBdr/>
      <w:spacing w:after="100"/>
      <w:ind w:left="1540"/>
    </w:pPr>
  </w:style>
  <w:style w:type="paragraph" w:styleId="196">
    <w:name w:val="toc 9"/>
    <w:basedOn w:val="716"/>
    <w:next w:val="716"/>
    <w:uiPriority w:val="39"/>
    <w:unhideWhenUsed/>
    <w:pPr>
      <w:pBdr/>
      <w:spacing w:after="100"/>
      <w:ind w:left="1760"/>
    </w:pPr>
  </w:style>
  <w:style w:type="character" w:styleId="197">
    <w:name w:val="Placeholder Text"/>
    <w:basedOn w:val="726"/>
    <w:uiPriority w:val="99"/>
    <w:semiHidden/>
    <w:pPr>
      <w:pBdr/>
      <w:spacing/>
      <w:ind/>
    </w:pPr>
    <w:rPr>
      <w:color w:val="666666"/>
    </w:rPr>
  </w:style>
  <w:style w:type="paragraph" w:styleId="208">
    <w:name w:val="table of figures"/>
    <w:basedOn w:val="716"/>
    <w:next w:val="716"/>
    <w:uiPriority w:val="99"/>
    <w:unhideWhenUsed/>
    <w:pPr>
      <w:pBdr/>
      <w:spacing w:after="0" w:afterAutospacing="0"/>
      <w:ind/>
    </w:pPr>
  </w:style>
  <w:style w:type="paragraph" w:styleId="716" w:default="1">
    <w:name w:val="Normal"/>
    <w:qFormat/>
    <w:pPr>
      <w:pBdr/>
      <w:spacing/>
      <w:ind/>
    </w:pPr>
    <w:rPr>
      <w:rFonts w:eastAsiaTheme="minorEastAsia"/>
    </w:rPr>
  </w:style>
  <w:style w:type="paragraph" w:styleId="717">
    <w:name w:val="Heading 1"/>
    <w:basedOn w:val="716"/>
    <w:next w:val="716"/>
    <w:link w:val="730"/>
    <w:uiPriority w:val="9"/>
    <w:qFormat/>
    <w:pPr>
      <w:keepNext w:val="true"/>
      <w:keepLines w:val="true"/>
      <w:pBdr>
        <w:left w:val="single" w:color="ed7d31" w:themeColor="accent2" w:sz="12" w:space="12"/>
      </w:pBdr>
      <w:spacing w:after="80" w:before="80" w:line="240" w:lineRule="auto"/>
      <w:ind/>
      <w:outlineLvl w:val="0"/>
    </w:pPr>
    <w:rPr>
      <w:rFonts w:asciiTheme="majorHAnsi" w:hAnsiTheme="majorHAnsi" w:eastAsiaTheme="majorEastAsia" w:cstheme="majorBidi"/>
      <w:caps/>
      <w:spacing w:val="10"/>
      <w:sz w:val="36"/>
      <w:szCs w:val="36"/>
    </w:rPr>
  </w:style>
  <w:style w:type="paragraph" w:styleId="718">
    <w:name w:val="Heading 2"/>
    <w:basedOn w:val="716"/>
    <w:next w:val="716"/>
    <w:link w:val="729"/>
    <w:uiPriority w:val="9"/>
    <w:unhideWhenUsed/>
    <w:qFormat/>
    <w:pPr>
      <w:keepNext w:val="true"/>
      <w:keepLines w:val="true"/>
      <w:pBdr/>
      <w:spacing w:after="0" w:before="120" w:line="240" w:lineRule="auto"/>
      <w:ind/>
      <w:outlineLvl w:val="1"/>
    </w:pPr>
    <w:rPr>
      <w:rFonts w:asciiTheme="majorHAnsi" w:hAnsiTheme="majorHAnsi" w:eastAsiaTheme="majorEastAsia" w:cstheme="majorBidi"/>
      <w:sz w:val="36"/>
      <w:szCs w:val="36"/>
    </w:rPr>
  </w:style>
  <w:style w:type="paragraph" w:styleId="719">
    <w:name w:val="Heading 3"/>
    <w:basedOn w:val="716"/>
    <w:next w:val="716"/>
    <w:link w:val="736"/>
    <w:uiPriority w:val="9"/>
    <w:unhideWhenUsed/>
    <w:qFormat/>
    <w:pPr>
      <w:keepNext w:val="true"/>
      <w:keepLines w:val="true"/>
      <w:pBdr/>
      <w:spacing w:after="0" w:before="80" w:line="240" w:lineRule="auto"/>
      <w:ind/>
      <w:outlineLvl w:val="2"/>
    </w:pPr>
    <w:rPr>
      <w:rFonts w:asciiTheme="majorHAnsi" w:hAnsiTheme="majorHAnsi" w:eastAsiaTheme="majorEastAsia" w:cstheme="majorBidi"/>
      <w:caps/>
      <w:sz w:val="28"/>
      <w:szCs w:val="28"/>
    </w:rPr>
  </w:style>
  <w:style w:type="paragraph" w:styleId="720">
    <w:name w:val="Heading 4"/>
    <w:basedOn w:val="716"/>
    <w:next w:val="716"/>
    <w:link w:val="737"/>
    <w:uiPriority w:val="9"/>
    <w:unhideWhenUsed/>
    <w:qFormat/>
    <w:pPr>
      <w:keepNext w:val="true"/>
      <w:keepLines w:val="true"/>
      <w:pBdr/>
      <w:spacing w:after="0" w:before="80" w:line="240" w:lineRule="auto"/>
      <w:ind/>
      <w:outlineLvl w:val="3"/>
    </w:pPr>
    <w:rPr>
      <w:rFonts w:asciiTheme="majorHAnsi" w:hAnsiTheme="majorHAnsi" w:eastAsiaTheme="majorEastAsia" w:cstheme="majorBidi"/>
      <w:i/>
      <w:iCs/>
      <w:sz w:val="28"/>
      <w:szCs w:val="28"/>
    </w:rPr>
  </w:style>
  <w:style w:type="paragraph" w:styleId="721">
    <w:name w:val="Heading 5"/>
    <w:basedOn w:val="716"/>
    <w:next w:val="716"/>
    <w:link w:val="738"/>
    <w:uiPriority w:val="9"/>
    <w:semiHidden/>
    <w:unhideWhenUsed/>
    <w:qFormat/>
    <w:pPr>
      <w:keepNext w:val="true"/>
      <w:keepLines w:val="true"/>
      <w:pBdr/>
      <w:spacing w:after="0" w:before="80" w:line="240" w:lineRule="auto"/>
      <w:ind/>
      <w:outlineLvl w:val="4"/>
    </w:pPr>
    <w:rPr>
      <w:rFonts w:asciiTheme="majorHAnsi" w:hAnsiTheme="majorHAnsi" w:eastAsiaTheme="majorEastAsia" w:cstheme="majorBidi"/>
      <w:sz w:val="24"/>
      <w:szCs w:val="24"/>
    </w:rPr>
  </w:style>
  <w:style w:type="paragraph" w:styleId="722">
    <w:name w:val="Heading 6"/>
    <w:basedOn w:val="716"/>
    <w:next w:val="716"/>
    <w:link w:val="739"/>
    <w:uiPriority w:val="9"/>
    <w:semiHidden/>
    <w:unhideWhenUsed/>
    <w:qFormat/>
    <w:pPr>
      <w:keepNext w:val="true"/>
      <w:keepLines w:val="true"/>
      <w:pBdr/>
      <w:spacing w:after="0" w:before="80" w:line="240" w:lineRule="auto"/>
      <w:ind/>
      <w:outlineLvl w:val="5"/>
    </w:pPr>
    <w:rPr>
      <w:rFonts w:asciiTheme="majorHAnsi" w:hAnsiTheme="majorHAnsi" w:eastAsiaTheme="majorEastAsia" w:cstheme="majorBidi"/>
      <w:i/>
      <w:iCs/>
      <w:sz w:val="24"/>
      <w:szCs w:val="24"/>
    </w:rPr>
  </w:style>
  <w:style w:type="paragraph" w:styleId="723">
    <w:name w:val="Heading 7"/>
    <w:basedOn w:val="716"/>
    <w:next w:val="716"/>
    <w:link w:val="740"/>
    <w:uiPriority w:val="9"/>
    <w:semiHidden/>
    <w:unhideWhenUsed/>
    <w:qFormat/>
    <w:pPr>
      <w:keepNext w:val="true"/>
      <w:keepLines w:val="true"/>
      <w:pBdr/>
      <w:spacing w:after="0" w:before="80" w:line="240" w:lineRule="auto"/>
      <w:ind/>
      <w:outlineLvl w:val="6"/>
    </w:pPr>
    <w:rPr>
      <w:rFonts w:asciiTheme="majorHAnsi" w:hAnsiTheme="majorHAnsi" w:eastAsiaTheme="majorEastAsia" w:cstheme="majorBidi"/>
      <w:color w:val="595959" w:themeColor="text1" w:themeTint="A6"/>
      <w:sz w:val="24"/>
      <w:szCs w:val="24"/>
    </w:rPr>
  </w:style>
  <w:style w:type="paragraph" w:styleId="724">
    <w:name w:val="Heading 8"/>
    <w:basedOn w:val="716"/>
    <w:next w:val="716"/>
    <w:link w:val="741"/>
    <w:uiPriority w:val="9"/>
    <w:semiHidden/>
    <w:unhideWhenUsed/>
    <w:qFormat/>
    <w:pPr>
      <w:keepNext w:val="true"/>
      <w:keepLines w:val="true"/>
      <w:pBdr/>
      <w:spacing w:after="0" w:before="80" w:line="240" w:lineRule="auto"/>
      <w:ind/>
      <w:outlineLvl w:val="7"/>
    </w:pPr>
    <w:rPr>
      <w:rFonts w:asciiTheme="majorHAnsi" w:hAnsiTheme="majorHAnsi" w:eastAsiaTheme="majorEastAsia" w:cstheme="majorBidi"/>
      <w:caps/>
    </w:rPr>
  </w:style>
  <w:style w:type="paragraph" w:styleId="725">
    <w:name w:val="Heading 9"/>
    <w:basedOn w:val="716"/>
    <w:next w:val="716"/>
    <w:link w:val="742"/>
    <w:uiPriority w:val="9"/>
    <w:semiHidden/>
    <w:unhideWhenUsed/>
    <w:qFormat/>
    <w:pPr>
      <w:keepNext w:val="true"/>
      <w:keepLines w:val="true"/>
      <w:pBdr/>
      <w:spacing w:after="0" w:before="80" w:line="240" w:lineRule="auto"/>
      <w:ind/>
      <w:outlineLvl w:val="8"/>
    </w:pPr>
    <w:rPr>
      <w:rFonts w:asciiTheme="majorHAnsi" w:hAnsiTheme="majorHAnsi" w:eastAsiaTheme="majorEastAsia" w:cstheme="majorBidi"/>
      <w:i/>
      <w:iCs/>
      <w:caps/>
    </w:rPr>
  </w:style>
  <w:style w:type="character" w:styleId="726" w:default="1">
    <w:name w:val="Default Paragraph Font"/>
    <w:uiPriority w:val="1"/>
    <w:semiHidden/>
    <w:unhideWhenUsed/>
    <w:pPr>
      <w:pBdr/>
      <w:spacing/>
      <w:ind/>
    </w:pPr>
  </w:style>
  <w:style w:type="table" w:styleId="72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28" w:default="1">
    <w:name w:val="No List"/>
    <w:uiPriority w:val="99"/>
    <w:semiHidden/>
    <w:unhideWhenUsed/>
    <w:pPr>
      <w:pBdr/>
      <w:spacing/>
      <w:ind/>
    </w:pPr>
  </w:style>
  <w:style w:type="character" w:styleId="729" w:customStyle="1">
    <w:name w:val="Titre 2 Car"/>
    <w:basedOn w:val="726"/>
    <w:link w:val="718"/>
    <w:uiPriority w:val="9"/>
    <w:pPr>
      <w:pBdr/>
      <w:spacing/>
      <w:ind/>
    </w:pPr>
    <w:rPr>
      <w:rFonts w:asciiTheme="majorHAnsi" w:hAnsiTheme="majorHAnsi" w:eastAsiaTheme="majorEastAsia" w:cstheme="majorBidi"/>
      <w:sz w:val="36"/>
      <w:szCs w:val="36"/>
    </w:rPr>
  </w:style>
  <w:style w:type="character" w:styleId="730" w:customStyle="1">
    <w:name w:val="Titre 1 Car"/>
    <w:basedOn w:val="726"/>
    <w:link w:val="717"/>
    <w:uiPriority w:val="9"/>
    <w:pPr>
      <w:pBdr/>
      <w:spacing/>
      <w:ind/>
    </w:pPr>
    <w:rPr>
      <w:rFonts w:asciiTheme="majorHAnsi" w:hAnsiTheme="majorHAnsi" w:eastAsiaTheme="majorEastAsia" w:cstheme="majorBidi"/>
      <w:caps/>
      <w:spacing w:val="10"/>
      <w:sz w:val="36"/>
      <w:szCs w:val="36"/>
    </w:rPr>
  </w:style>
  <w:style w:type="paragraph" w:styleId="731">
    <w:name w:val="Title"/>
    <w:basedOn w:val="716"/>
    <w:next w:val="716"/>
    <w:link w:val="732"/>
    <w:uiPriority w:val="10"/>
    <w:qFormat/>
    <w:pPr>
      <w:pBdr/>
      <w:spacing w:after="0" w:line="240" w:lineRule="auto"/>
      <w:ind/>
      <w:contextualSpacing w:val="true"/>
    </w:pPr>
    <w:rPr>
      <w:rFonts w:asciiTheme="majorHAnsi" w:hAnsiTheme="majorHAnsi" w:eastAsiaTheme="majorEastAsia" w:cstheme="majorBidi"/>
      <w:caps/>
      <w:spacing w:val="40"/>
      <w:sz w:val="76"/>
      <w:szCs w:val="76"/>
    </w:rPr>
  </w:style>
  <w:style w:type="character" w:styleId="732" w:customStyle="1">
    <w:name w:val="Titre Car"/>
    <w:basedOn w:val="726"/>
    <w:link w:val="731"/>
    <w:uiPriority w:val="10"/>
    <w:pPr>
      <w:pBdr/>
      <w:spacing/>
      <w:ind/>
    </w:pPr>
    <w:rPr>
      <w:rFonts w:asciiTheme="majorHAnsi" w:hAnsiTheme="majorHAnsi" w:eastAsiaTheme="majorEastAsia" w:cstheme="majorBidi"/>
      <w:caps/>
      <w:spacing w:val="40"/>
      <w:sz w:val="76"/>
      <w:szCs w:val="76"/>
    </w:rPr>
  </w:style>
  <w:style w:type="character" w:styleId="733">
    <w:name w:val="Emphasis"/>
    <w:basedOn w:val="726"/>
    <w:uiPriority w:val="20"/>
    <w:qFormat/>
    <w:pPr>
      <w:pBdr/>
      <w:spacing/>
      <w:ind/>
    </w:pPr>
    <w:rPr>
      <w:rFonts w:asciiTheme="minorHAnsi" w:hAnsiTheme="minorHAnsi" w:eastAsiaTheme="minorEastAsia" w:cstheme="minorBidi"/>
      <w:i/>
      <w:iCs/>
      <w:color w:val="c45911" w:themeColor="accent2" w:themeShade="BF"/>
      <w:sz w:val="20"/>
      <w:szCs w:val="20"/>
    </w:rPr>
  </w:style>
  <w:style w:type="character" w:styleId="734">
    <w:name w:val="Intense Emphasis"/>
    <w:basedOn w:val="726"/>
    <w:uiPriority w:val="21"/>
    <w:qFormat/>
    <w:pPr>
      <w:pBdr/>
      <w:spacing/>
      <w:ind/>
    </w:pPr>
    <w:rPr>
      <w:rFonts w:asciiTheme="minorHAnsi" w:hAnsiTheme="minorHAnsi" w:eastAsiaTheme="minorEastAsia" w:cstheme="minorBidi"/>
      <w:b/>
      <w:bCs/>
      <w:i/>
      <w:iCs/>
      <w:color w:val="c45911" w:themeColor="accent2" w:themeShade="BF"/>
      <w:spacing w:val="0"/>
      <w:position w:val="0"/>
      <w:sz w:val="20"/>
      <w:szCs w:val="20"/>
    </w:rPr>
  </w:style>
  <w:style w:type="character" w:styleId="735">
    <w:name w:val="Strong"/>
    <w:basedOn w:val="726"/>
    <w:uiPriority w:val="22"/>
    <w:qFormat/>
    <w:pPr>
      <w:pBdr/>
      <w:spacing/>
      <w:ind/>
    </w:pPr>
    <w:rPr>
      <w:rFonts w:asciiTheme="minorHAnsi" w:hAnsiTheme="minorHAnsi" w:eastAsiaTheme="minorEastAsia" w:cstheme="minorBidi"/>
      <w:b/>
      <w:bCs/>
      <w:spacing w:val="0"/>
      <w:position w:val="0"/>
      <w:sz w:val="20"/>
      <w:szCs w:val="20"/>
    </w:rPr>
  </w:style>
  <w:style w:type="character" w:styleId="736" w:customStyle="1">
    <w:name w:val="Titre 3 Car"/>
    <w:basedOn w:val="726"/>
    <w:link w:val="719"/>
    <w:uiPriority w:val="9"/>
    <w:pPr>
      <w:pBdr/>
      <w:spacing/>
      <w:ind/>
    </w:pPr>
    <w:rPr>
      <w:rFonts w:asciiTheme="majorHAnsi" w:hAnsiTheme="majorHAnsi" w:eastAsiaTheme="majorEastAsia" w:cstheme="majorBidi"/>
      <w:caps/>
      <w:sz w:val="28"/>
      <w:szCs w:val="28"/>
    </w:rPr>
  </w:style>
  <w:style w:type="character" w:styleId="737" w:customStyle="1">
    <w:name w:val="Titre 4 Car"/>
    <w:basedOn w:val="726"/>
    <w:link w:val="720"/>
    <w:uiPriority w:val="9"/>
    <w:pPr>
      <w:pBdr/>
      <w:spacing/>
      <w:ind/>
    </w:pPr>
    <w:rPr>
      <w:rFonts w:asciiTheme="majorHAnsi" w:hAnsiTheme="majorHAnsi" w:eastAsiaTheme="majorEastAsia" w:cstheme="majorBidi"/>
      <w:i/>
      <w:iCs/>
      <w:sz w:val="28"/>
      <w:szCs w:val="28"/>
    </w:rPr>
  </w:style>
  <w:style w:type="character" w:styleId="738" w:customStyle="1">
    <w:name w:val="Titre 5 Car"/>
    <w:basedOn w:val="726"/>
    <w:link w:val="721"/>
    <w:uiPriority w:val="9"/>
    <w:semiHidden/>
    <w:pPr>
      <w:pBdr/>
      <w:spacing/>
      <w:ind/>
    </w:pPr>
    <w:rPr>
      <w:rFonts w:asciiTheme="majorHAnsi" w:hAnsiTheme="majorHAnsi" w:eastAsiaTheme="majorEastAsia" w:cstheme="majorBidi"/>
      <w:sz w:val="24"/>
      <w:szCs w:val="24"/>
    </w:rPr>
  </w:style>
  <w:style w:type="character" w:styleId="739" w:customStyle="1">
    <w:name w:val="Titre 6 Car"/>
    <w:basedOn w:val="726"/>
    <w:link w:val="722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sz w:val="24"/>
      <w:szCs w:val="24"/>
    </w:rPr>
  </w:style>
  <w:style w:type="character" w:styleId="740" w:customStyle="1">
    <w:name w:val="Titre 7 Car"/>
    <w:basedOn w:val="726"/>
    <w:link w:val="723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595959" w:themeColor="text1" w:themeTint="A6"/>
      <w:sz w:val="24"/>
      <w:szCs w:val="24"/>
    </w:rPr>
  </w:style>
  <w:style w:type="character" w:styleId="741" w:customStyle="1">
    <w:name w:val="Titre 8 Car"/>
    <w:basedOn w:val="726"/>
    <w:link w:val="724"/>
    <w:uiPriority w:val="9"/>
    <w:semiHidden/>
    <w:pPr>
      <w:pBdr/>
      <w:spacing/>
      <w:ind/>
    </w:pPr>
    <w:rPr>
      <w:rFonts w:asciiTheme="majorHAnsi" w:hAnsiTheme="majorHAnsi" w:eastAsiaTheme="majorEastAsia" w:cstheme="majorBidi"/>
      <w:caps/>
    </w:rPr>
  </w:style>
  <w:style w:type="character" w:styleId="742" w:customStyle="1">
    <w:name w:val="Titre 9 Car"/>
    <w:basedOn w:val="726"/>
    <w:link w:val="725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aps/>
    </w:rPr>
  </w:style>
  <w:style w:type="paragraph" w:styleId="743">
    <w:name w:val="Caption"/>
    <w:basedOn w:val="716"/>
    <w:next w:val="716"/>
    <w:uiPriority w:val="35"/>
    <w:semiHidden/>
    <w:unhideWhenUsed/>
    <w:qFormat/>
    <w:pPr>
      <w:pBdr/>
      <w:spacing w:line="240" w:lineRule="auto"/>
      <w:ind/>
    </w:pPr>
    <w:rPr>
      <w:b/>
      <w:bCs/>
      <w:color w:val="ed7d31" w:themeColor="accent2"/>
      <w:spacing w:val="10"/>
      <w:sz w:val="16"/>
      <w:szCs w:val="16"/>
    </w:rPr>
  </w:style>
  <w:style w:type="paragraph" w:styleId="744">
    <w:name w:val="Subtitle"/>
    <w:basedOn w:val="716"/>
    <w:next w:val="716"/>
    <w:link w:val="745"/>
    <w:uiPriority w:val="11"/>
    <w:qFormat/>
    <w:pPr>
      <w:numPr>
        <w:ilvl w:val="1"/>
      </w:numPr>
      <w:pBdr/>
      <w:spacing w:after="240"/>
      <w:ind/>
    </w:pPr>
    <w:rPr>
      <w:color w:val="000000" w:themeColor="text1"/>
      <w:sz w:val="24"/>
      <w:szCs w:val="24"/>
    </w:rPr>
  </w:style>
  <w:style w:type="character" w:styleId="745" w:customStyle="1">
    <w:name w:val="Sous-titre Car"/>
    <w:basedOn w:val="726"/>
    <w:link w:val="744"/>
    <w:uiPriority w:val="11"/>
    <w:pPr>
      <w:pBdr/>
      <w:spacing/>
      <w:ind/>
    </w:pPr>
    <w:rPr>
      <w:color w:val="000000" w:themeColor="text1"/>
      <w:sz w:val="24"/>
      <w:szCs w:val="24"/>
    </w:rPr>
  </w:style>
  <w:style w:type="paragraph" w:styleId="746">
    <w:name w:val="No Spacing"/>
    <w:uiPriority w:val="1"/>
    <w:qFormat/>
    <w:pPr>
      <w:pBdr/>
      <w:spacing w:after="0" w:line="240" w:lineRule="auto"/>
      <w:ind/>
    </w:pPr>
  </w:style>
  <w:style w:type="paragraph" w:styleId="747">
    <w:name w:val="Quote"/>
    <w:basedOn w:val="716"/>
    <w:next w:val="716"/>
    <w:link w:val="748"/>
    <w:uiPriority w:val="29"/>
    <w:qFormat/>
    <w:pPr>
      <w:pBdr/>
      <w:spacing w:before="160"/>
      <w:ind w:left="720"/>
    </w:pPr>
    <w:rPr>
      <w:rFonts w:asciiTheme="majorHAnsi" w:hAnsiTheme="majorHAnsi" w:eastAsiaTheme="majorEastAsia" w:cstheme="majorBidi"/>
      <w:sz w:val="24"/>
      <w:szCs w:val="24"/>
    </w:rPr>
  </w:style>
  <w:style w:type="character" w:styleId="748" w:customStyle="1">
    <w:name w:val="Citation Car"/>
    <w:basedOn w:val="726"/>
    <w:link w:val="747"/>
    <w:uiPriority w:val="29"/>
    <w:pPr>
      <w:pBdr/>
      <w:spacing/>
      <w:ind/>
    </w:pPr>
    <w:rPr>
      <w:rFonts w:asciiTheme="majorHAnsi" w:hAnsiTheme="majorHAnsi" w:eastAsiaTheme="majorEastAsia" w:cstheme="majorBidi"/>
      <w:sz w:val="24"/>
      <w:szCs w:val="24"/>
    </w:rPr>
  </w:style>
  <w:style w:type="paragraph" w:styleId="749">
    <w:name w:val="Intense Quote"/>
    <w:basedOn w:val="716"/>
    <w:next w:val="716"/>
    <w:link w:val="750"/>
    <w:uiPriority w:val="30"/>
    <w:qFormat/>
    <w:pPr>
      <w:pBdr/>
      <w:spacing w:after="240" w:before="100" w:beforeAutospacing="1"/>
      <w:ind w:right="936" w:left="936"/>
      <w:jc w:val="center"/>
    </w:pPr>
    <w:rPr>
      <w:rFonts w:asciiTheme="majorHAnsi" w:hAnsiTheme="majorHAnsi" w:eastAsiaTheme="majorEastAsia" w:cstheme="majorBidi"/>
      <w:caps/>
      <w:color w:val="c45911" w:themeColor="accent2" w:themeShade="BF"/>
      <w:spacing w:val="10"/>
      <w:sz w:val="28"/>
      <w:szCs w:val="28"/>
    </w:rPr>
  </w:style>
  <w:style w:type="character" w:styleId="750" w:customStyle="1">
    <w:name w:val="Citation intense Car"/>
    <w:basedOn w:val="726"/>
    <w:link w:val="749"/>
    <w:uiPriority w:val="30"/>
    <w:pPr>
      <w:pBdr/>
      <w:spacing/>
      <w:ind/>
    </w:pPr>
    <w:rPr>
      <w:rFonts w:asciiTheme="majorHAnsi" w:hAnsiTheme="majorHAnsi" w:eastAsiaTheme="majorEastAsia" w:cstheme="majorBidi"/>
      <w:caps/>
      <w:color w:val="c45911" w:themeColor="accent2" w:themeShade="BF"/>
      <w:spacing w:val="10"/>
      <w:sz w:val="28"/>
      <w:szCs w:val="28"/>
    </w:rPr>
  </w:style>
  <w:style w:type="character" w:styleId="751">
    <w:name w:val="Subtle Emphasis"/>
    <w:basedOn w:val="726"/>
    <w:uiPriority w:val="19"/>
    <w:qFormat/>
    <w:pPr>
      <w:pBdr/>
      <w:spacing/>
      <w:ind/>
    </w:pPr>
    <w:rPr>
      <w:i/>
      <w:iCs/>
      <w:color w:val="auto"/>
    </w:rPr>
  </w:style>
  <w:style w:type="character" w:styleId="752">
    <w:name w:val="Subtle Reference"/>
    <w:basedOn w:val="726"/>
    <w:uiPriority w:val="31"/>
    <w:qFormat/>
    <w:pPr>
      <w:pBdr/>
      <w:spacing/>
      <w:ind/>
    </w:pPr>
    <w:rPr>
      <w:rFonts w:asciiTheme="minorHAnsi" w:hAnsiTheme="minorHAnsi" w:eastAsiaTheme="minorEastAsia" w:cstheme="minorBidi"/>
      <w:caps w:val="0"/>
      <w:smallCaps/>
      <w:color w:val="auto"/>
      <w:spacing w:val="10"/>
      <w:sz w:val="20"/>
      <w:szCs w:val="20"/>
      <w:u w:val="single"/>
    </w:rPr>
  </w:style>
  <w:style w:type="character" w:styleId="753">
    <w:name w:val="Intense Reference"/>
    <w:basedOn w:val="726"/>
    <w:uiPriority w:val="32"/>
    <w:qFormat/>
    <w:pPr>
      <w:pBdr/>
      <w:spacing/>
      <w:ind/>
    </w:pPr>
    <w:rPr>
      <w:rFonts w:asciiTheme="minorHAnsi" w:hAnsiTheme="minorHAnsi" w:eastAsiaTheme="minorEastAsia" w:cstheme="minorBidi"/>
      <w:b/>
      <w:bCs/>
      <w:caps w:val="0"/>
      <w:smallCaps/>
      <w:color w:val="191919" w:themeColor="text1" w:themeTint="E6"/>
      <w:spacing w:val="10"/>
      <w:position w:val="0"/>
      <w:sz w:val="20"/>
      <w:szCs w:val="20"/>
      <w:u w:val="single"/>
    </w:rPr>
  </w:style>
  <w:style w:type="character" w:styleId="754">
    <w:name w:val="Book Title"/>
    <w:basedOn w:val="726"/>
    <w:uiPriority w:val="33"/>
    <w:qFormat/>
    <w:pPr>
      <w:pBdr/>
      <w:spacing/>
      <w:ind/>
    </w:pPr>
    <w:rPr>
      <w:rFonts w:asciiTheme="minorHAnsi" w:hAnsiTheme="minorHAnsi" w:eastAsiaTheme="minorEastAsia" w:cstheme="minorBidi"/>
      <w:b/>
      <w:bCs/>
      <w:i/>
      <w:iCs/>
      <w:caps w:val="0"/>
      <w:smallCaps w:val="0"/>
      <w:color w:val="auto"/>
      <w:spacing w:val="10"/>
      <w:sz w:val="20"/>
      <w:szCs w:val="20"/>
    </w:rPr>
  </w:style>
  <w:style w:type="paragraph" w:styleId="755">
    <w:name w:val="TOC Heading"/>
    <w:basedOn w:val="717"/>
    <w:next w:val="716"/>
    <w:uiPriority w:val="39"/>
    <w:semiHidden/>
    <w:unhideWhenUsed/>
    <w:qFormat/>
    <w:pPr>
      <w:pBdr/>
      <w:spacing/>
      <w:ind/>
      <w:outlineLvl w:val="9"/>
    </w:pPr>
  </w:style>
  <w:style w:type="paragraph" w:styleId="756">
    <w:name w:val="List Paragraph"/>
    <w:basedOn w:val="716"/>
    <w:uiPriority w:val="34"/>
    <w:qFormat/>
    <w:pPr>
      <w:pBdr/>
      <w:spacing/>
      <w:ind w:left="720"/>
      <w:contextualSpacing w:val="true"/>
    </w:pPr>
  </w:style>
  <w:style w:type="table" w:styleId="757">
    <w:name w:val="Table Grid"/>
    <w:basedOn w:val="727"/>
    <w:uiPriority w:val="39"/>
    <w:pPr>
      <w:pBdr/>
      <w:spacing w:after="0" w:line="240" w:lineRule="auto"/>
      <w:ind/>
    </w:pPr>
    <w:rPr>
      <w:rFonts w:eastAsiaTheme="minorEastAsia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2 Accent 2"/>
    <w:basedOn w:val="727"/>
    <w:uiPriority w:val="47"/>
    <w:pPr>
      <w:pBdr/>
      <w:spacing w:after="0" w:line="240" w:lineRule="auto"/>
      <w:ind/>
    </w:pPr>
    <w:rPr>
      <w:rFonts w:eastAsiaTheme="minorEastAsia"/>
    </w:rPr>
    <w:tblPr>
      <w:tblStyleRowBandSize w:val="1"/>
      <w:tblStyleColBandSize w:val="1"/>
      <w:tblBorders>
        <w:top w:val="single" w:color="f4b083" w:themeColor="accent2" w:themeTint="99" w:sz="2" w:space="0"/>
        <w:bottom w:val="single" w:color="f4b083" w:themeColor="accent2" w:themeTint="99" w:sz="2" w:space="0"/>
        <w:insideH w:val="single" w:color="f4b083" w:themeColor="accent2" w:themeTint="99" w:sz="2" w:space="0"/>
        <w:insideV w:val="single" w:color="f4b083" w:themeColor="accent2" w:themeTint="99" w:sz="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e4d5" w:themeFill="accent2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e4d5" w:themeFill="accent2" w:themeFillTint="33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bottom w:val="single" w:color="f4b083" w:themeColor="accent2" w:themeTint="99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f4b083" w:themeColor="accent2" w:themeTint="99" w:sz="2" w:space="0"/>
          <w:bottom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media1.svg"/><Relationship Id="rId11" Type="http://schemas.openxmlformats.org/officeDocument/2006/relationships/image" Target="media/image2.gif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media2.sv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ONLYOFFICE/9.0.0.172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roro2</dc:creator>
  <cp:keywords/>
  <dc:description/>
  <cp:revision>37</cp:revision>
  <dcterms:created xsi:type="dcterms:W3CDTF">2023-07-27T13:00:00Z</dcterms:created>
  <dcterms:modified xsi:type="dcterms:W3CDTF">2025-12-21T13:51:42Z</dcterms:modified>
</cp:coreProperties>
</file>