
<file path=[Content_Types].xml><?xml version="1.0" encoding="utf-8"?>
<Types xmlns="http://schemas.openxmlformats.org/package/2006/content-types">
  <Default Extension="gif" ContentType="image/gif"/>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727"/>
        <w:pBdr/>
        <w:spacing/>
        <w:ind/>
        <w:rPr/>
      </w:pPr>
      <w:r>
        <w:t xml:space="preserve">Les métabolismes énergétiques</w:t>
      </w:r>
      <w:r/>
    </w:p>
    <w:p>
      <w:pPr>
        <w:pBdr/>
        <w:spacing w:line="240" w:lineRule="auto"/>
        <w:ind/>
        <w:jc w:val="both"/>
        <w:rPr/>
      </w:pPr>
      <w:r>
        <w:t xml:space="preserve">Se prendre le mur en marathon correspond à l’épuisement du stock de glycogène, environ 2000 à 2200 kcals stockées dans le foie et les muscles.</w:t>
      </w:r>
      <w:r/>
    </w:p>
    <w:p>
      <w:pPr>
        <w:pBdr/>
        <w:spacing w:line="240" w:lineRule="auto"/>
        <w:ind/>
        <w:jc w:val="both"/>
        <w:rPr>
          <w:i/>
          <w:color w:val="c55911"/>
          <w:sz w:val="20"/>
          <w:szCs w:val="20"/>
        </w:rPr>
      </w:pPr>
      <w:r>
        <w:rPr>
          <w:i/>
          <w:color w:val="c55911"/>
          <w:sz w:val="20"/>
          <w:szCs w:val="20"/>
        </w:rPr>
        <w:t xml:space="preserve">1 calorie = quantité d’énergie pour élever la température d’un gramme d’eau de 14,5°C à 15,5°C</w:t>
      </w:r>
      <w:r>
        <w:rPr>
          <w:i/>
          <w:color w:val="c55911"/>
          <w:sz w:val="20"/>
          <w:szCs w:val="20"/>
        </w:rPr>
      </w:r>
    </w:p>
    <w:p>
      <w:pPr>
        <w:pBdr/>
        <w:spacing w:line="240" w:lineRule="auto"/>
        <w:ind/>
        <w:jc w:val="both"/>
        <w:rPr/>
      </w:pPr>
      <w:r>
        <w:t xml:space="preserve">Il existe deux types de réactions, les </w:t>
      </w:r>
      <w:r>
        <w:rPr>
          <w:b/>
        </w:rPr>
        <w:t xml:space="preserve">anaboliques </w:t>
      </w:r>
      <w:r>
        <w:t xml:space="preserve">(énergivores) et </w:t>
      </w:r>
      <w:r>
        <w:rPr>
          <w:b/>
        </w:rPr>
        <w:t xml:space="preserve">cataboliques</w:t>
      </w:r>
      <w:r>
        <w:t xml:space="preserve"> (libèrent de l’énergie)</w:t>
      </w:r>
      <w:r>
        <w:rPr>
          <w:b/>
        </w:rPr>
        <w:t xml:space="preserve">. </w:t>
      </w:r>
      <w:r>
        <w:t xml:space="preserve">Les réactions anaboliques du corps humain ont un rendement d’environ </w:t>
      </w:r>
      <w:r>
        <w:rPr>
          <w:b/>
        </w:rPr>
        <w:t xml:space="preserve">40%.</w:t>
      </w:r>
      <w:r>
        <w:t xml:space="preserve"> </w:t>
      </w:r>
      <w:r/>
    </w:p>
    <w:p>
      <w:pPr>
        <w:pBdr/>
        <w:spacing/>
        <w:ind/>
        <w:rPr/>
      </w:pPr>
      <w:r>
        <w:t xml:space="preserve">Les échanges d’énergie reposent chez les êtres vivants sur des réactions enzymatiques </w:t>
      </w:r>
      <w:r>
        <w:rPr>
          <w:color w:val="c00000"/>
        </w:rPr>
        <w:t xml:space="preserve">d’oxydation</w:t>
      </w:r>
      <w:r>
        <w:t xml:space="preserve">. Elles sont régies par la </w:t>
      </w:r>
      <w:r>
        <w:rPr>
          <w:color w:val="e36c0a" w:themeColor="accent6" w:themeShade="BF"/>
        </w:rPr>
        <w:t xml:space="preserve">perte d’électrons </w:t>
      </w:r>
      <w:r>
        <w:t xml:space="preserve">(</w:t>
      </w:r>
      <w:r>
        <w:rPr>
          <w:color w:val="365f91" w:themeColor="accent1" w:themeShade="BF"/>
        </w:rPr>
        <w:t xml:space="preserve">enzymes respiratoires</w:t>
      </w:r>
      <w:r>
        <w:t xml:space="preserve">), ou de </w:t>
      </w:r>
      <w:r>
        <w:rPr>
          <w:color w:val="e36c0a" w:themeColor="accent6" w:themeShade="BF"/>
        </w:rPr>
        <w:t xml:space="preserve">protons et d’électrons </w:t>
      </w:r>
      <w:r>
        <w:t xml:space="preserve">(</w:t>
      </w:r>
      <w:r>
        <w:rPr>
          <w:color w:val="365f91" w:themeColor="accent1" w:themeShade="BF"/>
        </w:rPr>
        <w:t xml:space="preserve">déshydrogénases</w:t>
      </w:r>
      <w:r>
        <w:t xml:space="preserve">) ou par </w:t>
      </w:r>
      <w:r>
        <w:rPr>
          <w:color w:val="e36c0a" w:themeColor="accent6" w:themeShade="BF"/>
        </w:rPr>
        <w:t xml:space="preserve">des gains d’oxygène </w:t>
      </w:r>
      <w:r>
        <w:t xml:space="preserve">(</w:t>
      </w:r>
      <w:r>
        <w:rPr>
          <w:color w:val="365f91" w:themeColor="accent1" w:themeShade="BF"/>
        </w:rPr>
        <w:t xml:space="preserve">oxydases</w:t>
      </w:r>
      <w:r>
        <w:t xml:space="preserve">).</w:t>
      </w:r>
      <w:r/>
    </w:p>
    <w:p>
      <w:pPr>
        <w:pBdr/>
        <w:spacing/>
        <w:ind/>
        <w:rPr/>
      </w:pPr>
      <w:r>
        <w:t xml:space="preserve">Tout système d’oxydation biochimique établit un couple d’oxydo-réduction. </w:t>
      </w:r>
      <w:r/>
    </w:p>
    <w:tbl>
      <w:tblPr>
        <w:tblW w:w="0" w:type="auto"/>
        <w:tblBorders/>
        <w:tblLook w:val="04A0" w:firstRow="1" w:lastRow="0" w:firstColumn="1" w:lastColumn="0" w:noHBand="0" w:noVBand="1"/>
        <w:tblStyle w:val="733"/>
      </w:tblPr>
      <w:tblGrid>
        <w:gridCol w:w="9062"/>
      </w:tblGrid>
      <w:tr>
        <w:trPr>
          <w:trHeight w:val="397"/>
        </w:trPr>
        <w:tc>
          <w:tcPr>
            <w:shd w:val="clear" w:color="auto" w:fill="f2dbdb" w:themeFill="accent2" w:themeFillTint="33"/>
            <w:tcBorders>
              <w:top w:val="none" w:color="000000" w:sz="4" w:space="0"/>
              <w:left w:val="none" w:color="000000" w:sz="4" w:space="0"/>
              <w:bottom w:val="none" w:color="000000" w:sz="4" w:space="0"/>
              <w:right w:val="none" w:color="000000" w:sz="4" w:space="0"/>
            </w:tcBorders>
            <w:tcW w:w="9062" w:type="dxa"/>
            <w:vAlign w:val="center"/>
            <w:textDirection w:val="lrTb"/>
            <w:noWrap w:val="false"/>
          </w:tcPr>
          <w:p>
            <w:pPr>
              <w:pBdr/>
              <w:spacing/>
              <w:ind/>
              <w:rPr>
                <w:rFonts w:asciiTheme="majorHAnsi" w:hAnsiTheme="majorHAnsi" w:cstheme="majorHAnsi"/>
              </w:rPr>
            </w:pPr>
            <w:r>
              <w:rPr>
                <w:rFonts w:asciiTheme="majorHAnsi" w:hAnsiTheme="majorHAnsi" w:cstheme="majorHAnsi"/>
                <w:b/>
                <w:bCs/>
              </w:rPr>
              <w:t xml:space="preserve">Rappel</w:t>
            </w:r>
            <w:r>
              <w:rPr>
                <w:rFonts w:asciiTheme="majorHAnsi" w:hAnsiTheme="majorHAnsi" w:cstheme="majorHAnsi"/>
              </w:rPr>
              <w:t xml:space="preserve"> : l’élément qui cède un électron est le </w:t>
            </w:r>
            <w:r>
              <w:rPr>
                <w:rStyle w:val="732"/>
                <w:rFonts w:asciiTheme="majorHAnsi" w:hAnsiTheme="majorHAnsi" w:cstheme="majorHAnsi"/>
              </w:rPr>
              <w:t xml:space="preserve">réducteur</w:t>
            </w:r>
            <w:r>
              <w:rPr>
                <w:rFonts w:asciiTheme="majorHAnsi" w:hAnsiTheme="majorHAnsi" w:cstheme="majorHAnsi"/>
              </w:rPr>
              <w:t xml:space="preserve">, celui qui capte est </w:t>
            </w:r>
            <w:r>
              <w:rPr>
                <w:rStyle w:val="732"/>
                <w:rFonts w:asciiTheme="majorHAnsi" w:hAnsiTheme="majorHAnsi" w:cstheme="majorHAnsi"/>
              </w:rPr>
              <w:t xml:space="preserve">l’oxydant</w:t>
            </w:r>
            <w:r>
              <w:rPr>
                <w:rFonts w:asciiTheme="majorHAnsi" w:hAnsiTheme="majorHAnsi" w:cstheme="majorHAnsi"/>
              </w:rPr>
            </w:r>
          </w:p>
        </w:tc>
      </w:tr>
    </w:tbl>
    <w:p>
      <w:pPr>
        <w:pBdr/>
        <w:spacing/>
        <w:ind/>
        <w:rPr/>
      </w:pPr>
      <w:r/>
      <w:r/>
    </w:p>
    <w:p>
      <w:pPr>
        <w:pBdr/>
        <w:spacing/>
        <w:ind/>
        <w:rPr/>
      </w:pPr>
      <w:r>
        <w:t xml:space="preserve">Chez l’Homme, l’oxydant est l’oxygène.</w:t>
      </w:r>
      <w:r/>
    </w:p>
    <w:p>
      <w:pPr>
        <w:pBdr>
          <w:bottom w:val="single" w:color="000000" w:sz="4" w:space="1"/>
        </w:pBdr>
        <w:spacing/>
        <w:ind/>
        <w:rPr>
          <w:rFonts w:eastAsiaTheme="minorEastAsia"/>
        </w:rPr>
      </w:pPr>
      <w:r/>
      <m:oMathPara>
        <m:oMathParaPr/>
        <m:oMath>
          <m:r>
            <w:rPr>
              <w:rFonts w:ascii="Cambria Math" w:hAnsi="Cambria Math"/>
            </w:rPr>
            <m:rPr/>
            <m:t>D</m:t>
          </m:r>
          <m:sSub>
            <m:sSubPr>
              <m:ctrlPr>
                <w:rPr>
                  <w:rFonts w:ascii="Cambria Math" w:hAnsi="Cambria Math"/>
                  <w:i/>
                </w:rPr>
              </m:ctrlPr>
            </m:sSubPr>
            <m:e>
              <m:r>
                <w:rPr>
                  <w:rFonts w:ascii="Cambria Math" w:hAnsi="Cambria Math"/>
                </w:rPr>
                <m:rPr/>
                <m:t>H</m:t>
              </m:r>
            </m:e>
            <m:sub>
              <m:r>
                <w:rPr>
                  <w:rFonts w:ascii="Cambria Math" w:hAnsi="Cambria Math"/>
                </w:rPr>
                <m:rPr/>
                <m:t>2</m:t>
              </m:r>
            </m:sub>
          </m:sSub>
          <m:r>
            <w:rPr>
              <w:rFonts w:ascii="Cambria Math" w:hAnsi="Cambria Math"/>
            </w:rPr>
            <m:rPr>
              <m:sty m:val="p"/>
            </m:rPr>
            <m:t>→</m:t>
          </m:r>
          <m:r>
            <w:rPr>
              <w:rFonts w:ascii="Cambria Math" w:hAnsi="Cambria Math"/>
            </w:rPr>
            <m:rPr/>
            <m:t>D+2</m:t>
          </m:r>
          <m:sSup>
            <m:sSupPr>
              <m:ctrlPr>
                <w:rPr>
                  <w:rFonts w:ascii="Cambria Math" w:hAnsi="Cambria Math"/>
                  <w:i/>
                </w:rPr>
              </m:ctrlPr>
            </m:sSupPr>
            <m:e>
              <m:r>
                <w:rPr>
                  <w:rFonts w:ascii="Cambria Math" w:hAnsi="Cambria Math"/>
                </w:rPr>
                <m:rPr/>
                <m:t>H</m:t>
              </m:r>
            </m:e>
            <m:sup>
              <m:r>
                <w:rPr>
                  <w:rFonts w:ascii="Cambria Math" w:hAnsi="Cambria Math"/>
                </w:rPr>
                <m:rPr/>
                <m:t>+</m:t>
              </m:r>
            </m:sup>
          </m:sSup>
          <m:r>
            <w:rPr>
              <w:rFonts w:ascii="Cambria Math" w:hAnsi="Cambria Math"/>
            </w:rPr>
            <m:rPr/>
            <m:t>+2</m:t>
          </m:r>
          <m:sSup>
            <m:sSupPr>
              <m:ctrlPr>
                <w:rPr>
                  <w:rFonts w:ascii="Cambria Math" w:hAnsi="Cambria Math"/>
                  <w:i/>
                </w:rPr>
              </m:ctrlPr>
            </m:sSupPr>
            <m:e>
              <m:r>
                <w:rPr>
                  <w:rFonts w:ascii="Cambria Math" w:hAnsi="Cambria Math"/>
                </w:rPr>
                <m:rPr/>
                <m:t>e</m:t>
              </m:r>
            </m:e>
            <m:sup>
              <m:r>
                <w:rPr>
                  <w:rFonts w:ascii="Cambria Math" w:hAnsi="Cambria Math"/>
                </w:rPr>
                <m:rPr/>
                <m:t>-</m:t>
              </m:r>
            </m:sup>
          </m:sSup>
          <m:r>
            <w:rPr>
              <w:rFonts w:ascii="Cambria Math" w:hAnsi="Cambria Math"/>
            </w:rPr>
            <m:rPr/>
            <m:t> + énergie</m:t>
          </m:r>
        </m:oMath>
      </m:oMathPara>
      <w:r>
        <w:br/>
      </w:r>
      <m:oMathPara>
        <m:oMathParaPr/>
        <m:oMath>
          <m:r>
            <w:rPr>
              <w:rFonts w:ascii="Cambria Math" w:hAnsi="Cambria Math" w:eastAsiaTheme="minorEastAsia"/>
            </w:rPr>
            <m:rPr/>
            <m:t>2</m:t>
          </m:r>
          <m:sSup>
            <m:sSupPr>
              <m:ctrlPr>
                <w:rPr>
                  <w:rFonts w:ascii="Cambria Math" w:hAnsi="Cambria Math" w:eastAsiaTheme="minorEastAsia"/>
                  <w:i/>
                </w:rPr>
              </m:ctrlPr>
            </m:sSupPr>
            <m:e>
              <m:r>
                <w:rPr>
                  <w:rFonts w:ascii="Cambria Math" w:hAnsi="Cambria Math" w:eastAsiaTheme="minorEastAsia"/>
                </w:rPr>
                <m:rPr/>
                <m:t>H</m:t>
              </m:r>
            </m:e>
            <m:sup>
              <m:r>
                <w:rPr>
                  <w:rFonts w:ascii="Cambria Math" w:hAnsi="Cambria Math" w:eastAsiaTheme="minorEastAsia"/>
                </w:rPr>
                <m:rPr/>
                <m:t>+</m:t>
              </m:r>
            </m:sup>
          </m:sSup>
          <m:r>
            <w:rPr>
              <w:rFonts w:ascii="Cambria Math" w:hAnsi="Cambria Math" w:eastAsiaTheme="minorEastAsia"/>
            </w:rPr>
            <m:rPr/>
            <m:t>+2</m:t>
          </m:r>
          <m:sSup>
            <m:sSupPr>
              <m:ctrlPr>
                <w:rPr>
                  <w:rFonts w:ascii="Cambria Math" w:hAnsi="Cambria Math" w:eastAsiaTheme="minorEastAsia"/>
                  <w:i/>
                </w:rPr>
              </m:ctrlPr>
            </m:sSupPr>
            <m:e>
              <m:r>
                <w:rPr>
                  <w:rFonts w:ascii="Cambria Math" w:hAnsi="Cambria Math" w:eastAsiaTheme="minorEastAsia"/>
                </w:rPr>
                <m:rPr/>
                <m:t>e</m:t>
              </m:r>
            </m:e>
            <m:sup>
              <m:r>
                <w:rPr>
                  <w:rFonts w:ascii="Cambria Math" w:hAnsi="Cambria Math" w:eastAsiaTheme="minorEastAsia"/>
                </w:rPr>
                <m:rPr/>
                <m:t>-</m:t>
              </m:r>
            </m:sup>
          </m:sSup>
          <m:r>
            <w:rPr>
              <w:rFonts w:ascii="Cambria Math" w:hAnsi="Cambria Math" w:eastAsiaTheme="minorEastAsia"/>
            </w:rPr>
            <m:rPr/>
            <m:t>+1</m:t>
          </m:r>
          <m:r>
            <w:rPr>
              <w:rFonts w:ascii="Cambria Math" w:hAnsi="Cambria Math" w:eastAsiaTheme="minorEastAsia"/>
            </w:rPr>
            <m:rPr>
              <m:lit m:val="on"/>
            </m:rPr>
            <m:t>/</m:t>
          </m:r>
          <m:r>
            <w:rPr>
              <w:rFonts w:ascii="Cambria Math" w:hAnsi="Cambria Math" w:eastAsiaTheme="minorEastAsia"/>
            </w:rPr>
            <m:rPr/>
            <m:t>2</m:t>
          </m:r>
          <m:sSub>
            <m:sSubPr>
              <m:ctrlPr>
                <w:rPr>
                  <w:rFonts w:ascii="Cambria Math" w:hAnsi="Cambria Math" w:eastAsiaTheme="minorEastAsia"/>
                  <w:i/>
                </w:rPr>
              </m:ctrlPr>
            </m:sSubPr>
            <m:e>
              <m:r>
                <w:rPr>
                  <w:rFonts w:ascii="Cambria Math" w:hAnsi="Cambria Math" w:eastAsiaTheme="minorEastAsia"/>
                </w:rPr>
                <m:rPr/>
                <m:t>O</m:t>
              </m:r>
            </m:e>
            <m:sub>
              <m:r>
                <w:rPr>
                  <w:rFonts w:ascii="Cambria Math" w:hAnsi="Cambria Math" w:eastAsiaTheme="minorEastAsia"/>
                </w:rPr>
                <m:rPr/>
                <m:t>2</m:t>
              </m:r>
            </m:sub>
          </m:sSub>
          <m:r>
            <w:rPr>
              <w:rFonts w:ascii="Cambria Math" w:hAnsi="Cambria Math" w:eastAsiaTheme="minorEastAsia"/>
            </w:rPr>
            <m:rPr>
              <m:sty m:val="p"/>
            </m:rPr>
            <m:t>→</m:t>
          </m:r>
          <m:sSub>
            <m:sSubPr>
              <m:ctrlPr>
                <w:rPr>
                  <w:rFonts w:ascii="Cambria Math" w:hAnsi="Cambria Math" w:eastAsiaTheme="minorEastAsia"/>
                  <w:i/>
                </w:rPr>
              </m:ctrlPr>
            </m:sSubPr>
            <m:e>
              <m:r>
                <w:rPr>
                  <w:rFonts w:ascii="Cambria Math" w:hAnsi="Cambria Math" w:eastAsiaTheme="minorEastAsia"/>
                </w:rPr>
                <m:rPr/>
                <m:t>H</m:t>
              </m:r>
            </m:e>
            <m:sub>
              <m:r>
                <w:rPr>
                  <w:rFonts w:ascii="Cambria Math" w:hAnsi="Cambria Math" w:eastAsiaTheme="minorEastAsia"/>
                </w:rPr>
                <m:rPr/>
                <m:t>2</m:t>
              </m:r>
            </m:sub>
          </m:sSub>
          <m:r>
            <w:rPr>
              <w:rFonts w:ascii="Cambria Math" w:hAnsi="Cambria Math" w:eastAsiaTheme="minorEastAsia"/>
            </w:rPr>
            <m:rPr/>
            <m:t>O</m:t>
          </m:r>
        </m:oMath>
      </m:oMathPara>
      <w:r/>
      <w:r>
        <w:rPr>
          <w:rFonts w:eastAsiaTheme="minorEastAsia"/>
        </w:rPr>
      </w:r>
    </w:p>
    <w:p>
      <w:pPr>
        <w:pBdr/>
        <w:spacing/>
        <w:ind/>
        <w:rPr>
          <w:rFonts w:eastAsiaTheme="minorEastAsia"/>
        </w:rPr>
      </w:pPr>
      <w:r/>
      <m:oMathPara>
        <m:oMathParaPr/>
        <m:oMath>
          <m:r>
            <w:rPr>
              <w:rFonts w:ascii="Cambria Math" w:hAnsi="Cambria Math" w:eastAsiaTheme="minorEastAsia"/>
            </w:rPr>
            <m:rPr/>
            <m:t>D</m:t>
          </m:r>
          <m:sSub>
            <m:sSubPr>
              <m:ctrlPr>
                <w:rPr>
                  <w:rFonts w:ascii="Cambria Math" w:hAnsi="Cambria Math" w:eastAsiaTheme="minorEastAsia"/>
                  <w:i/>
                </w:rPr>
              </m:ctrlPr>
            </m:sSubPr>
            <m:e>
              <m:r>
                <w:rPr>
                  <w:rFonts w:ascii="Cambria Math" w:hAnsi="Cambria Math" w:eastAsiaTheme="minorEastAsia"/>
                </w:rPr>
                <m:rPr/>
                <m:t>H</m:t>
              </m:r>
            </m:e>
            <m:sub>
              <m:r>
                <w:rPr>
                  <w:rFonts w:ascii="Cambria Math" w:hAnsi="Cambria Math" w:eastAsiaTheme="minorEastAsia"/>
                </w:rPr>
                <m:rPr/>
                <m:t>2</m:t>
              </m:r>
            </m:sub>
          </m:sSub>
          <m:r>
            <w:rPr>
              <w:rFonts w:ascii="Cambria Math" w:hAnsi="Cambria Math" w:eastAsiaTheme="minorEastAsia"/>
            </w:rPr>
            <m:rPr/>
            <m:t>+1</m:t>
          </m:r>
          <m:r>
            <w:rPr>
              <w:rFonts w:ascii="Cambria Math" w:hAnsi="Cambria Math" w:eastAsiaTheme="minorEastAsia"/>
            </w:rPr>
            <m:rPr>
              <m:lit m:val="on"/>
            </m:rPr>
            <m:t>/</m:t>
          </m:r>
          <m:r>
            <w:rPr>
              <w:rFonts w:ascii="Cambria Math" w:hAnsi="Cambria Math" w:eastAsiaTheme="minorEastAsia"/>
            </w:rPr>
            <m:rPr/>
            <m:t>2</m:t>
          </m:r>
          <m:sSub>
            <m:sSubPr>
              <m:ctrlPr>
                <w:rPr>
                  <w:rFonts w:ascii="Cambria Math" w:hAnsi="Cambria Math" w:eastAsiaTheme="minorEastAsia"/>
                  <w:i/>
                </w:rPr>
              </m:ctrlPr>
            </m:sSubPr>
            <m:e>
              <m:r>
                <w:rPr>
                  <w:rFonts w:ascii="Cambria Math" w:hAnsi="Cambria Math" w:eastAsiaTheme="minorEastAsia"/>
                </w:rPr>
                <m:rPr/>
                <m:t>O</m:t>
              </m:r>
            </m:e>
            <m:sub>
              <m:r>
                <w:rPr>
                  <w:rFonts w:ascii="Cambria Math" w:hAnsi="Cambria Math" w:eastAsiaTheme="minorEastAsia"/>
                </w:rPr>
                <m:rPr/>
                <m:t>2</m:t>
              </m:r>
            </m:sub>
          </m:sSub>
          <m:r>
            <w:rPr>
              <w:rFonts w:ascii="Cambria Math" w:hAnsi="Cambria Math" w:eastAsiaTheme="minorEastAsia"/>
            </w:rPr>
            <m:rPr>
              <m:sty m:val="p"/>
            </m:rPr>
            <m:t>→</m:t>
          </m:r>
          <m:r>
            <w:rPr>
              <w:rFonts w:ascii="Cambria Math" w:hAnsi="Cambria Math" w:eastAsiaTheme="minorEastAsia"/>
            </w:rPr>
            <m:rPr/>
            <m:t>D+</m:t>
          </m:r>
          <m:sSub>
            <m:sSubPr>
              <m:ctrlPr>
                <w:rPr>
                  <w:rFonts w:ascii="Cambria Math" w:hAnsi="Cambria Math" w:eastAsiaTheme="minorEastAsia"/>
                  <w:i/>
                </w:rPr>
              </m:ctrlPr>
            </m:sSubPr>
            <m:e>
              <m:r>
                <w:rPr>
                  <w:rFonts w:ascii="Cambria Math" w:hAnsi="Cambria Math" w:eastAsiaTheme="minorEastAsia"/>
                </w:rPr>
                <m:rPr/>
                <m:t>H</m:t>
              </m:r>
            </m:e>
            <m:sub>
              <m:r>
                <w:rPr>
                  <w:rFonts w:ascii="Cambria Math" w:hAnsi="Cambria Math" w:eastAsiaTheme="minorEastAsia"/>
                </w:rPr>
                <m:rPr/>
                <m:t>2</m:t>
              </m:r>
            </m:sub>
          </m:sSub>
          <m:r>
            <w:rPr>
              <w:rFonts w:ascii="Cambria Math" w:hAnsi="Cambria Math" w:eastAsiaTheme="minorEastAsia"/>
            </w:rPr>
            <m:rPr/>
            <m:t>O+énergie</m:t>
          </m:r>
        </m:oMath>
      </m:oMathPara>
      <w:r/>
      <w:r>
        <w:rPr>
          <w:rFonts w:eastAsiaTheme="minorEastAsia"/>
        </w:rPr>
      </w:r>
    </w:p>
    <w:p>
      <w:pPr>
        <w:pBdr/>
        <w:spacing/>
        <w:ind/>
        <w:rPr>
          <w:rFonts w:eastAsiaTheme="minorEastAsia"/>
        </w:rPr>
      </w:pPr>
      <w:r>
        <w:rPr>
          <w:rFonts w:eastAsiaTheme="minorEastAsia"/>
        </w:rPr>
        <w:t xml:space="preserve">L’énergie crée permet d’effectuer un travail : </w:t>
      </w:r>
      <w:r>
        <w:rPr>
          <w:rFonts w:eastAsiaTheme="minorEastAsia"/>
          <w:color w:val="e36c0a" w:themeColor="accent6" w:themeShade="BF"/>
        </w:rPr>
        <w:t xml:space="preserve">mécanique, thermique, électrique ou chimique</w:t>
      </w:r>
      <w:r>
        <w:rPr>
          <w:rFonts w:eastAsiaTheme="minorEastAsia"/>
        </w:rPr>
        <w:t xml:space="preserve">.</w:t>
      </w:r>
      <w:r>
        <w:rPr>
          <w:rFonts w:eastAsiaTheme="minorEastAsia"/>
        </w:rPr>
      </w:r>
    </w:p>
    <w:p>
      <w:pPr>
        <w:pBdr/>
        <w:spacing w:line="240" w:lineRule="auto"/>
        <w:ind/>
        <w:jc w:val="both"/>
        <w:rPr>
          <w:color w:val="000000"/>
        </w:rPr>
      </w:pPr>
      <w:r>
        <w:rPr>
          <w:color w:val="000000"/>
        </w:rPr>
      </w:r>
      <w:r>
        <w:rPr>
          <w:color w:val="000000"/>
        </w:rPr>
      </w:r>
    </w:p>
    <w:p>
      <w:pPr>
        <w:pStyle w:val="717"/>
        <w:pBdr/>
        <w:spacing/>
        <w:ind/>
        <w:jc w:val="both"/>
        <w:rPr>
          <w:highlight w:val="none"/>
        </w:rPr>
      </w:pPr>
      <w:r>
        <w:rPr>
          <w:highlight w:val="none"/>
        </w:rPr>
        <w:t xml:space="preserve">Les substrats énergétiques</w:t>
      </w:r>
      <w:r>
        <w:rPr>
          <w:highlight w:val="none"/>
        </w:rPr>
      </w:r>
    </w:p>
    <w:p>
      <w:pPr>
        <w:pStyle w:val="718"/>
        <w:pBdr/>
        <w:spacing/>
        <w:ind/>
        <w:jc w:val="both"/>
        <w:rPr/>
      </w:pPr>
      <w:r>
        <w:t xml:space="preserve">Les glucides</w:t>
      </w:r>
      <w:r/>
    </w:p>
    <w:p>
      <w:pPr>
        <w:pStyle w:val="735"/>
        <w:numPr>
          <w:ilvl w:val="0"/>
          <w:numId w:val="22"/>
        </w:numPr>
        <w:pBdr/>
        <w:spacing/>
        <w:ind/>
        <w:rPr/>
      </w:pPr>
      <w:r>
        <w:t xml:space="preserve">Glucides convertis en glucose, convertis en énergie ou glycogène ou lipides</w:t>
      </w:r>
      <w:r/>
    </w:p>
    <w:p>
      <w:pPr>
        <w:pStyle w:val="735"/>
        <w:numPr>
          <w:ilvl w:val="0"/>
          <w:numId w:val="22"/>
        </w:numPr>
        <w:pBdr/>
        <w:spacing/>
        <w:ind/>
        <w:rPr/>
      </w:pPr>
      <w:r>
        <w:t xml:space="preserve">Glycogène stocké dans le </w:t>
      </w:r>
      <w:r>
        <w:rPr>
          <w:i/>
          <w:color w:val="c55911"/>
          <w:sz w:val="20"/>
          <w:szCs w:val="20"/>
        </w:rPr>
        <w:t xml:space="preserve">foie et les muscles</w:t>
      </w:r>
      <w:r/>
    </w:p>
    <w:p>
      <w:pPr>
        <w:pStyle w:val="735"/>
        <w:numPr>
          <w:ilvl w:val="0"/>
          <w:numId w:val="22"/>
        </w:numPr>
        <w:pBdr/>
        <w:spacing/>
        <w:ind/>
        <w:rPr/>
      </w:pPr>
      <w:r>
        <w:t xml:space="preserve">Son transport est assuré par des protéines spécifiques : les GLUT</w:t>
      </w:r>
      <w:r/>
    </w:p>
    <w:p>
      <w:pPr>
        <w:pStyle w:val="735"/>
        <w:numPr>
          <w:ilvl w:val="1"/>
          <w:numId w:val="22"/>
        </w:numPr>
        <w:pBdr/>
        <w:spacing/>
        <w:ind/>
        <w:rPr/>
      </w:pPr>
      <w:r>
        <w:t xml:space="preserve">GLUT-1 et -4 interviennent au niveau musculaire</w:t>
      </w:r>
      <w:r/>
    </w:p>
    <w:p>
      <w:pPr>
        <w:pStyle w:val="735"/>
        <w:numPr>
          <w:ilvl w:val="0"/>
          <w:numId w:val="22"/>
        </w:numPr>
        <w:pBdr/>
        <w:spacing/>
        <w:ind/>
        <w:rPr/>
      </w:pPr>
      <w:r>
        <w:t xml:space="preserve">Les concentrations de glycogène musculaire diminuent avec l’exercice :</w:t>
      </w:r>
      <w:r/>
    </w:p>
    <w:p>
      <w:pPr>
        <w:pStyle w:val="735"/>
        <w:numPr>
          <w:ilvl w:val="1"/>
          <w:numId w:val="22"/>
        </w:numPr>
        <w:pBdr/>
        <w:spacing/>
        <w:ind/>
        <w:rPr/>
      </w:pPr>
      <w:r>
        <w:t xml:space="preserve">Ex sous max : déplétion importante surtout dans les fibres type I</w:t>
      </w:r>
      <w:r/>
    </w:p>
    <w:p>
      <w:pPr>
        <w:pStyle w:val="735"/>
        <w:numPr>
          <w:ilvl w:val="1"/>
          <w:numId w:val="22"/>
        </w:numPr>
        <w:pBdr/>
        <w:spacing/>
        <w:ind/>
        <w:rPr/>
      </w:pPr>
      <w:r>
        <w:t xml:space="preserve">Sinon plutôt type II</w:t>
      </w:r>
      <w:r/>
    </w:p>
    <w:p>
      <w:pPr>
        <w:pStyle w:val="735"/>
        <w:numPr>
          <w:ilvl w:val="1"/>
          <w:numId w:val="22"/>
        </w:numPr>
        <w:pBdr/>
        <w:spacing/>
        <w:ind/>
        <w:rPr/>
      </w:pPr>
      <w:r>
        <w:t xml:space="preserve">De l’ordre de -10% </w:t>
      </w:r>
      <w:r/>
    </w:p>
    <w:p>
      <w:pPr>
        <w:pStyle w:val="735"/>
        <w:numPr>
          <w:ilvl w:val="0"/>
          <w:numId w:val="22"/>
        </w:numPr>
        <w:pBdr/>
        <w:spacing/>
        <w:ind/>
        <w:rPr/>
      </w:pPr>
      <w:r>
        <w:t xml:space="preserve">Régime hyperglucidique (70% de glucides) pendant plusieurs jours avant la compétition augmente les stocks hépatiques</w:t>
      </w:r>
      <w:r/>
    </w:p>
    <w:p>
      <w:pPr>
        <w:pStyle w:val="735"/>
        <w:numPr>
          <w:ilvl w:val="0"/>
          <w:numId w:val="22"/>
        </w:numPr>
        <w:pBdr/>
        <w:spacing/>
        <w:ind/>
        <w:rPr/>
      </w:pPr>
      <w:r>
        <w:t xml:space="preserve">Apport exogène en glucide pendant l’exercice permet de reculer l’apparition de la fatigue</w:t>
      </w:r>
      <w:r/>
    </w:p>
    <w:p>
      <w:pPr>
        <w:pStyle w:val="735"/>
        <w:numPr>
          <w:ilvl w:val="0"/>
          <w:numId w:val="22"/>
        </w:numPr>
        <w:pBdr/>
        <w:spacing/>
        <w:ind/>
        <w:rPr/>
      </w:pPr>
      <w:r>
        <w:t xml:space="preserve">Réplétion prend 24 à 48h, deux phases</w:t>
      </w:r>
      <w:r/>
    </w:p>
    <w:p>
      <w:pPr>
        <w:pStyle w:val="735"/>
        <w:numPr>
          <w:ilvl w:val="1"/>
          <w:numId w:val="22"/>
        </w:numPr>
        <w:pBdr/>
        <w:spacing/>
        <w:ind/>
        <w:rPr/>
      </w:pPr>
      <w:r>
        <w:t xml:space="preserve">Une par les GLUT-4</w:t>
      </w:r>
      <w:r/>
    </w:p>
    <w:p>
      <w:pPr>
        <w:pStyle w:val="735"/>
        <w:numPr>
          <w:ilvl w:val="1"/>
          <w:numId w:val="22"/>
        </w:numPr>
        <w:pBdr/>
        <w:spacing/>
        <w:ind/>
        <w:rPr/>
      </w:pPr>
      <w:r>
        <w:t xml:space="preserve">Une par l’insuline</w:t>
      </w:r>
      <w:r/>
    </w:p>
    <w:p>
      <w:pPr>
        <w:pBdr>
          <w:top w:val="none" w:color="000000" w:sz="4" w:space="0"/>
          <w:left w:val="none" w:color="000000" w:sz="4" w:space="0"/>
          <w:bottom w:val="none" w:color="000000" w:sz="4" w:space="0"/>
          <w:right w:val="none" w:color="000000" w:sz="4" w:space="0"/>
          <w:between w:val="none" w:color="000000" w:sz="4" w:space="0"/>
        </w:pBdr>
        <w:spacing w:line="240" w:lineRule="auto"/>
        <w:ind/>
        <w:jc w:val="both"/>
        <w:rPr/>
      </w:pPr>
      <w:r/>
      <w:r/>
    </w:p>
    <w:p>
      <w:pPr>
        <w:pStyle w:val="718"/>
        <w:pBdr/>
        <w:spacing/>
        <w:ind/>
        <w:jc w:val="both"/>
        <w:rPr/>
      </w:pPr>
      <w:r>
        <w:t xml:space="preserve">Les lipides</w:t>
      </w:r>
      <w:r/>
    </w:p>
    <w:p>
      <w:pPr>
        <w:pStyle w:val="735"/>
        <w:numPr>
          <w:ilvl w:val="0"/>
          <w:numId w:val="23"/>
        </w:numPr>
        <w:pBdr/>
        <w:spacing/>
        <w:ind/>
        <w:rPr/>
      </w:pPr>
      <w:r>
        <w:t xml:space="preserve">Stockés en grande quantité mais difficilement accessible</w:t>
      </w:r>
      <w:r/>
    </w:p>
    <w:p>
      <w:pPr>
        <w:pStyle w:val="735"/>
        <w:numPr>
          <w:ilvl w:val="0"/>
          <w:numId w:val="23"/>
        </w:numPr>
        <w:pBdr/>
        <w:spacing/>
        <w:ind/>
        <w:rPr/>
      </w:pPr>
      <w:r>
        <w:t xml:space="preserve">Seuls les </w:t>
      </w:r>
      <w:r>
        <w:rPr>
          <w:b/>
          <w:i/>
          <w:color w:val="c55911"/>
          <w:sz w:val="20"/>
          <w:szCs w:val="20"/>
        </w:rPr>
        <w:t xml:space="preserve">AGL</w:t>
      </w:r>
      <w:r>
        <w:t xml:space="preserve"> peuvent former de l’ATP</w:t>
      </w:r>
      <w:r/>
    </w:p>
    <w:p>
      <w:pPr>
        <w:pStyle w:val="735"/>
        <w:numPr>
          <w:ilvl w:val="0"/>
          <w:numId w:val="23"/>
        </w:numPr>
        <w:pBdr/>
        <w:spacing/>
        <w:ind/>
        <w:rPr/>
      </w:pPr>
      <w:r>
        <w:t xml:space="preserve">Stéroïdes et phospholipides ne permettent pas de former de l’ATP</w:t>
      </w:r>
      <w:r/>
    </w:p>
    <w:p>
      <w:pPr>
        <w:pStyle w:val="735"/>
        <w:numPr>
          <w:ilvl w:val="0"/>
          <w:numId w:val="23"/>
        </w:numPr>
        <w:pBdr/>
        <w:spacing/>
        <w:ind/>
        <w:rPr/>
      </w:pPr>
      <w:r>
        <w:t xml:space="preserve">Trois types de tissu adipeux :</w:t>
      </w:r>
      <w:r/>
    </w:p>
    <w:p>
      <w:pPr>
        <w:pStyle w:val="735"/>
        <w:numPr>
          <w:ilvl w:val="1"/>
          <w:numId w:val="23"/>
        </w:numPr>
        <w:pBdr/>
        <w:spacing/>
        <w:ind/>
        <w:rPr/>
      </w:pPr>
      <w:r>
        <w:t xml:space="preserve">Blanc, réserve de triglycérides et synthétiseurs d’hormones endocrines</w:t>
      </w:r>
      <w:r/>
    </w:p>
    <w:p>
      <w:pPr>
        <w:pStyle w:val="735"/>
        <w:numPr>
          <w:ilvl w:val="1"/>
          <w:numId w:val="23"/>
        </w:numPr>
        <w:pBdr/>
        <w:spacing/>
        <w:ind/>
        <w:rPr/>
      </w:pPr>
      <w:r>
        <w:t xml:space="preserve">Beige, intermédiaires</w:t>
      </w:r>
      <w:r/>
    </w:p>
    <w:p>
      <w:pPr>
        <w:pStyle w:val="735"/>
        <w:numPr>
          <w:ilvl w:val="1"/>
          <w:numId w:val="23"/>
        </w:numPr>
        <w:pBdr/>
        <w:spacing/>
        <w:ind/>
        <w:rPr/>
      </w:pPr>
      <w:r>
        <w:t xml:space="preserve">Brun, bcp de mitochondries, localisé dans des zones précises, augmentent la thermogenèse</w:t>
      </w:r>
      <w:r>
        <w:t xml:space="preserve"> par leur capacité d’oxyder les acides gras et le glucose sans production</w:t>
      </w:r>
      <w:r>
        <w:t xml:space="preserve"> </w:t>
      </w:r>
      <w:r>
        <w:t xml:space="preserve">d‘ATP</w:t>
      </w:r>
      <w:r/>
    </w:p>
    <w:p>
      <w:pPr>
        <w:pStyle w:val="735"/>
        <w:numPr>
          <w:ilvl w:val="0"/>
          <w:numId w:val="23"/>
        </w:numPr>
        <w:pBdr/>
        <w:spacing/>
        <w:ind/>
        <w:rPr/>
      </w:pPr>
      <w:r>
        <w:t xml:space="preserve">Acides gras libres ou non estérifiés sont des acides monocarboxyliques saturés ou insaturés.</w:t>
      </w:r>
      <w:r/>
    </w:p>
    <w:p>
      <w:pPr>
        <w:pStyle w:val="735"/>
        <w:numPr>
          <w:ilvl w:val="0"/>
          <w:numId w:val="23"/>
        </w:numPr>
        <w:pBdr/>
        <w:spacing/>
        <w:ind/>
        <w:rPr/>
      </w:pPr>
      <w:r>
        <w:t xml:space="preserve">Participation des TG musculaires reste modérée à l’exercice (&lt;30%)</w:t>
      </w:r>
      <w:r/>
    </w:p>
    <w:p>
      <w:pPr>
        <w:pStyle w:val="735"/>
        <w:numPr>
          <w:ilvl w:val="0"/>
          <w:numId w:val="23"/>
        </w:numPr>
        <w:pBdr/>
        <w:spacing/>
        <w:ind/>
        <w:rPr/>
      </w:pPr>
      <w:r>
        <w:t xml:space="preserve">Régime hyperlipidique accroît la B oxydation, mais pas la performance lors d’épreuves de longue durée</w:t>
      </w:r>
      <w:r/>
    </w:p>
    <w:p>
      <w:pPr>
        <w:pStyle w:val="735"/>
        <w:numPr>
          <w:ilvl w:val="0"/>
          <w:numId w:val="23"/>
        </w:numPr>
        <w:pBdr/>
        <w:spacing/>
        <w:ind/>
        <w:rPr/>
      </w:pPr>
      <w:r>
        <w:t xml:space="preserve">Diminution des réserves en glucose et glycogène stimule l’utilisation des lipides</w:t>
      </w:r>
      <w:r/>
    </w:p>
    <w:p>
      <w:pPr>
        <w:pStyle w:val="735"/>
        <w:numPr>
          <w:ilvl w:val="0"/>
          <w:numId w:val="23"/>
        </w:numPr>
        <w:pBdr/>
        <w:spacing/>
        <w:ind/>
        <w:rPr/>
      </w:pPr>
      <w:r>
        <w:t xml:space="preserve">Entraînement aérobie améliore le transport membranaire </w:t>
      </w:r>
      <w:r>
        <w:t xml:space="preserve"> </w:t>
      </w:r>
      <w:r/>
    </w:p>
    <w:p>
      <w:pPr>
        <w:pStyle w:val="718"/>
        <w:pBdr/>
        <w:spacing/>
        <w:ind/>
        <w:jc w:val="both"/>
        <w:rPr/>
      </w:pPr>
      <w:r>
        <w:t xml:space="preserve">Les Protéines</w:t>
      </w:r>
      <w:r/>
    </w:p>
    <w:p>
      <w:pPr>
        <w:numPr>
          <w:ilvl w:val="0"/>
          <w:numId w:val="13"/>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pPr>
      <w:r>
        <w:rPr>
          <w:color w:val="000000"/>
        </w:rPr>
        <w:t xml:space="preserve">Contribution au métabolisme modeste</w:t>
      </w:r>
      <w:r/>
    </w:p>
    <w:p>
      <w:pPr>
        <w:numPr>
          <w:ilvl w:val="0"/>
          <w:numId w:val="13"/>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pPr>
      <w:r>
        <w:rPr>
          <w:i/>
          <w:color w:val="c55911"/>
          <w:sz w:val="20"/>
          <w:szCs w:val="20"/>
        </w:rPr>
        <w:t xml:space="preserve">Néoglucogenèse</w:t>
      </w:r>
      <w:r>
        <w:rPr>
          <w:color w:val="000000"/>
        </w:rPr>
        <w:t xml:space="preserve"> ou </w:t>
      </w:r>
      <w:r>
        <w:rPr>
          <w:i/>
          <w:color w:val="c55911"/>
          <w:sz w:val="20"/>
          <w:szCs w:val="20"/>
        </w:rPr>
        <w:t xml:space="preserve">lipogenèse</w:t>
      </w:r>
      <w:r>
        <w:rPr>
          <w:color w:val="000000"/>
        </w:rPr>
        <w:t xml:space="preserve"> à partir de protéine possible</w:t>
      </w:r>
      <w:r/>
    </w:p>
    <w:p>
      <w:pPr>
        <w:numPr>
          <w:ilvl w:val="0"/>
          <w:numId w:val="13"/>
        </w:numPr>
        <w:pBdr>
          <w:top w:val="none" w:color="000000" w:sz="4" w:space="0"/>
          <w:left w:val="none" w:color="000000" w:sz="4" w:space="0"/>
          <w:bottom w:val="none" w:color="000000" w:sz="4" w:space="0"/>
          <w:right w:val="none" w:color="000000" w:sz="4" w:space="0"/>
          <w:between w:val="none" w:color="000000" w:sz="4" w:space="0"/>
        </w:pBdr>
        <w:spacing w:line="240" w:lineRule="auto"/>
        <w:ind/>
        <w:jc w:val="both"/>
        <w:rPr/>
      </w:pPr>
      <w:r>
        <w:rPr>
          <w:color w:val="000000"/>
        </w:rPr>
        <w:t xml:space="preserve">Peuvent fournir jusqu’à </w:t>
      </w:r>
      <w:r>
        <w:rPr>
          <w:i/>
          <w:color w:val="c55911"/>
          <w:sz w:val="20"/>
          <w:szCs w:val="20"/>
        </w:rPr>
        <w:t xml:space="preserve">10%</w:t>
      </w:r>
      <w:r>
        <w:rPr>
          <w:color w:val="000000"/>
        </w:rPr>
        <w:t xml:space="preserve"> de l’énergie nécessaire lors d’un exercice prolongé</w:t>
      </w:r>
      <w:r/>
    </w:p>
    <w:p>
      <w:pPr>
        <w:numPr>
          <w:ilvl w:val="0"/>
          <w:numId w:val="13"/>
        </w:numPr>
        <w:pBdr>
          <w:top w:val="none" w:color="000000" w:sz="4" w:space="0"/>
          <w:left w:val="none" w:color="000000" w:sz="4" w:space="0"/>
          <w:bottom w:val="none" w:color="000000" w:sz="4" w:space="0"/>
          <w:right w:val="none" w:color="000000" w:sz="4" w:space="0"/>
          <w:between w:val="none" w:color="000000" w:sz="4" w:space="0"/>
        </w:pBdr>
        <w:spacing w:line="240" w:lineRule="auto"/>
        <w:ind/>
        <w:jc w:val="both"/>
        <w:rPr/>
      </w:pPr>
      <w:r>
        <w:rPr>
          <w:color w:val="000000"/>
        </w:rPr>
        <w:t xml:space="preserve">Groupement amine + carboxyle + radical</w:t>
      </w:r>
      <w:r/>
    </w:p>
    <w:p>
      <w:pPr>
        <w:numPr>
          <w:ilvl w:val="0"/>
          <w:numId w:val="13"/>
        </w:numPr>
        <w:pBdr>
          <w:top w:val="none" w:color="000000" w:sz="4" w:space="0"/>
          <w:left w:val="none" w:color="000000" w:sz="4" w:space="0"/>
          <w:bottom w:val="none" w:color="000000" w:sz="4" w:space="0"/>
          <w:right w:val="none" w:color="000000" w:sz="4" w:space="0"/>
          <w:between w:val="none" w:color="000000" w:sz="4" w:space="0"/>
        </w:pBdr>
        <w:spacing w:line="240" w:lineRule="auto"/>
        <w:ind/>
        <w:jc w:val="both"/>
        <w:rPr/>
      </w:pPr>
      <w:r>
        <w:rPr>
          <w:color w:val="000000"/>
        </w:rPr>
        <w:t xml:space="preserve">Protéine = chaine d’aa via liaisons peptidiques</w:t>
      </w:r>
      <w:r/>
    </w:p>
    <w:p>
      <w:pPr>
        <w:numPr>
          <w:ilvl w:val="0"/>
          <w:numId w:val="13"/>
        </w:numPr>
        <w:pBdr>
          <w:top w:val="none" w:color="000000" w:sz="4" w:space="0"/>
          <w:left w:val="none" w:color="000000" w:sz="4" w:space="0"/>
          <w:bottom w:val="none" w:color="000000" w:sz="4" w:space="0"/>
          <w:right w:val="none" w:color="000000" w:sz="4" w:space="0"/>
          <w:between w:val="none" w:color="000000" w:sz="4" w:space="0"/>
        </w:pBdr>
        <w:spacing w:line="240" w:lineRule="auto"/>
        <w:ind/>
        <w:jc w:val="both"/>
        <w:rPr/>
      </w:pPr>
      <w:r>
        <w:rPr>
          <w:color w:val="000000"/>
        </w:rPr>
        <w:t xml:space="preserve">Synthèse protéique musculaire plus ou moins augmentée 2h après un exercice de résistance en fonction des aa consommés, mais à noter que cela ne reflète pas l’hypertrophie au niveau intégratif</w:t>
      </w:r>
      <w:r/>
    </w:p>
    <w:p>
      <w:pPr>
        <w:pBdr>
          <w:top w:val="none" w:color="000000" w:sz="4" w:space="0"/>
          <w:left w:val="none" w:color="000000" w:sz="4" w:space="0"/>
          <w:bottom w:val="none" w:color="000000" w:sz="4" w:space="0"/>
          <w:right w:val="none" w:color="000000" w:sz="4" w:space="0"/>
          <w:between w:val="none" w:color="000000" w:sz="4" w:space="0"/>
        </w:pBdr>
        <w:spacing w:line="240" w:lineRule="auto"/>
        <w:ind/>
        <w:jc w:val="both"/>
        <w:rPr/>
      </w:pPr>
      <w:r>
        <mc:AlternateContent>
          <mc:Choice Requires="wpg">
            <w:drawing>
              <wp:inline xmlns:wp="http://schemas.openxmlformats.org/drawingml/2006/wordprocessingDrawing" distT="0" distB="0" distL="0" distR="0">
                <wp:extent cx="1874520" cy="1531620"/>
                <wp:effectExtent l="0" t="0" r="0" b="0"/>
                <wp:docPr id="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0"/>
                        <a:stretch/>
                      </pic:blipFill>
                      <pic:spPr bwMode="auto">
                        <a:xfrm>
                          <a:off x="0" y="0"/>
                          <a:ext cx="1874520" cy="15316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7.60pt;height:120.60pt;mso-wrap-distance-left:0.00pt;mso-wrap-distance-top:0.00pt;mso-wrap-distance-right:0.00pt;mso-wrap-distance-bottom:0.00pt;z-index:1;" stroked="f">
                <v:imagedata r:id="rId10" o:title=""/>
                <o:lock v:ext="edit" rotation="t"/>
              </v:shape>
            </w:pict>
          </mc:Fallback>
        </mc:AlternateContent>
      </w:r>
      <w:r/>
    </w:p>
    <w:p>
      <w:pPr>
        <w:pStyle w:val="717"/>
        <w:pBdr/>
        <w:spacing/>
        <w:ind/>
        <w:jc w:val="both"/>
        <w:rPr/>
      </w:pPr>
      <w:r>
        <w:t xml:space="preserve">Contrôle de la production énergétique</w:t>
      </w: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pPr>
      <w:r>
        <w:rPr>
          <w:b/>
          <w:i/>
          <w:color w:val="c55911"/>
          <w:sz w:val="20"/>
          <w:szCs w:val="20"/>
        </w:rPr>
        <w:t xml:space="preserve">Loi d’action de masse</w:t>
      </w:r>
      <w:r>
        <w:rPr>
          <w:color w:val="000000"/>
        </w:rPr>
        <w:t xml:space="preserve"> : utilisation prioritaire des substrats en grande quantité</w:t>
      </w: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pPr>
      <w:r>
        <w:rPr>
          <w:color w:val="000000"/>
        </w:rPr>
        <w:t xml:space="preserve">Disponibilité en </w:t>
      </w:r>
      <w:r>
        <w:rPr>
          <w:i/>
          <w:color w:val="c55911"/>
          <w:sz w:val="20"/>
          <w:szCs w:val="20"/>
        </w:rPr>
        <w:t xml:space="preserve">cofacteurs</w:t>
      </w:r>
      <w:r>
        <w:rPr>
          <w:color w:val="000000"/>
        </w:rPr>
        <w:t xml:space="preserve"> influencent le fonctionnement de l’enzyme et donc le débit métabolique de la voie</w:t>
      </w:r>
      <w:r/>
    </w:p>
    <w:p>
      <w:pPr>
        <w:numPr>
          <w:ilvl w:val="0"/>
          <w:numId w:val="1"/>
        </w:numPr>
        <w:pBdr>
          <w:top w:val="none" w:color="000000" w:sz="4" w:space="0"/>
          <w:left w:val="none" w:color="000000" w:sz="4" w:space="0"/>
          <w:bottom w:val="none" w:color="000000" w:sz="4" w:space="0"/>
          <w:right w:val="none" w:color="000000" w:sz="4" w:space="0"/>
          <w:between w:val="none" w:color="000000" w:sz="4" w:space="0"/>
        </w:pBdr>
        <w:spacing w:line="240" w:lineRule="auto"/>
        <w:ind/>
        <w:jc w:val="both"/>
        <w:rPr>
          <w:color w:val="000000"/>
        </w:rPr>
      </w:pPr>
      <w:r>
        <w:rPr>
          <w:color w:val="000000"/>
        </w:rPr>
        <w:t xml:space="preserve">Concentration élevée du produit final </w:t>
      </w:r>
      <w:r>
        <w:rPr>
          <w:i/>
          <w:color w:val="c55911"/>
          <w:sz w:val="20"/>
          <w:szCs w:val="20"/>
        </w:rPr>
        <w:t xml:space="preserve">diminue</w:t>
      </w:r>
      <w:r>
        <w:rPr>
          <w:color w:val="000000"/>
        </w:rPr>
        <w:t xml:space="preserve"> la production du produit : elle influence l’activité de </w:t>
      </w:r>
      <w:r>
        <w:rPr>
          <w:b/>
          <w:i/>
          <w:color w:val="c55911"/>
          <w:sz w:val="20"/>
          <w:szCs w:val="20"/>
        </w:rPr>
        <w:t xml:space="preserve">l’enzyme limitante</w:t>
      </w:r>
      <w:r>
        <w:rPr>
          <w:color w:val="000000"/>
        </w:rPr>
      </w:r>
    </w:p>
    <w:p>
      <w:pPr>
        <w:pStyle w:val="717"/>
        <w:pBdr/>
        <w:spacing/>
        <w:ind/>
        <w:jc w:val="both"/>
        <w:rPr>
          <w:highlight w:val="none"/>
        </w:rPr>
      </w:pPr>
      <w:r>
        <w:rPr>
          <w:highlight w:val="none"/>
        </w:rPr>
        <w:t xml:space="preserve">L’ATP</w:t>
      </w:r>
      <w:r>
        <w:rPr>
          <w:highlight w:val="none"/>
        </w:rPr>
      </w:r>
    </w:p>
    <w:p>
      <w:pPr>
        <w:pBdr/>
        <w:spacing w:line="240" w:lineRule="auto"/>
        <w:ind/>
        <w:jc w:val="both"/>
        <w:rPr/>
      </w:pPr>
      <w:r>
        <w:t xml:space="preserve">Les glucides et les lipides sont </w:t>
      </w:r>
      <w:r>
        <w:rPr>
          <w:b/>
        </w:rPr>
        <w:t xml:space="preserve">oxydés </w:t>
      </w:r>
      <w:r>
        <w:t xml:space="preserve">pour produire de l’ATP.</w:t>
      </w:r>
      <w:r/>
    </w:p>
    <w:p>
      <w:pPr>
        <w:pBdr/>
        <w:spacing w:line="240" w:lineRule="auto"/>
        <w:ind/>
        <w:jc w:val="both"/>
        <w:rPr/>
      </w:pPr>
      <w:r>
        <mc:AlternateContent>
          <mc:Choice Requires="wpg">
            <w:drawing>
              <wp:inline xmlns:wp="http://schemas.openxmlformats.org/drawingml/2006/wordprocessingDrawing" distT="0" distB="0" distL="0" distR="0">
                <wp:extent cx="3657600" cy="2158365"/>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ic:nvPr/>
                      </pic:nvPicPr>
                      <pic:blipFill>
                        <a:blip r:embed="rId11"/>
                        <a:stretch/>
                      </pic:blipFill>
                      <pic:spPr bwMode="auto">
                        <a:xfrm>
                          <a:off x="0" y="0"/>
                          <a:ext cx="3657600" cy="215836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288.00pt;height:169.95pt;mso-wrap-distance-left:0.00pt;mso-wrap-distance-top:0.00pt;mso-wrap-distance-right:0.00pt;mso-wrap-distance-bottom:0.00pt;z-index:1;">
                <v:imagedata r:id="rId11" o:title=""/>
                <o:lock v:ext="edit" rotation="t"/>
              </v:shape>
            </w:pict>
          </mc:Fallback>
        </mc:AlternateContent>
      </w:r>
      <w:r/>
    </w:p>
    <w:p>
      <w:pPr>
        <w:pBdr/>
        <w:spacing w:line="240" w:lineRule="auto"/>
        <w:ind/>
        <w:jc w:val="both"/>
        <w:rPr>
          <w:b/>
        </w:rPr>
      </w:pPr>
      <w:r>
        <w:t xml:space="preserve">ATP très peu concentrée dans les muscles ≈ </w:t>
      </w:r>
      <w:r>
        <w:rPr>
          <w:b/>
          <w:i/>
          <w:color w:val="c55911"/>
          <w:sz w:val="20"/>
          <w:szCs w:val="20"/>
        </w:rPr>
        <w:t xml:space="preserve">5mmol.kg</w:t>
      </w:r>
      <w:r>
        <w:rPr>
          <w:b/>
          <w:i/>
          <w:color w:val="c55911"/>
          <w:sz w:val="20"/>
          <w:szCs w:val="20"/>
          <w:vertAlign w:val="superscript"/>
        </w:rPr>
        <w:t xml:space="preserve">-1</w:t>
      </w:r>
      <w:r>
        <w:rPr>
          <w:b/>
        </w:rPr>
      </w:r>
    </w:p>
    <w:p>
      <w:pPr>
        <w:pBdr/>
        <w:spacing w:line="240" w:lineRule="auto"/>
        <w:ind/>
        <w:jc w:val="both"/>
        <w:rPr/>
      </w:pPr>
      <w:r>
        <w:t xml:space="preserve">L’ATP est un nucléotide à 3 groupements phosphate. Pour rappel :</w:t>
      </w:r>
      <w:r/>
    </w:p>
    <w:p>
      <w:pPr>
        <w:pBdr/>
        <w:spacing w:line="240" w:lineRule="auto"/>
        <w:ind/>
        <w:jc w:val="both"/>
        <w:rPr/>
      </w:pPr>
      <w:r>
        <mc:AlternateContent>
          <mc:Choice Requires="wpg">
            <w:drawing>
              <wp:inline xmlns:wp="http://schemas.openxmlformats.org/drawingml/2006/wordprocessingDrawing" distT="0" distB="0" distL="0" distR="0">
                <wp:extent cx="5762625" cy="203581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12"/>
                        <a:stretch/>
                      </pic:blipFill>
                      <pic:spPr bwMode="auto">
                        <a:xfrm>
                          <a:off x="0" y="0"/>
                          <a:ext cx="5762625" cy="203581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453.75pt;height:160.30pt;mso-wrap-distance-left:0.00pt;mso-wrap-distance-top:0.00pt;mso-wrap-distance-right:0.00pt;mso-wrap-distance-bottom:0.00pt;z-index:1;">
                <v:imagedata r:id="rId12" o:title=""/>
                <o:lock v:ext="edit" rotation="t"/>
              </v:shape>
            </w:pict>
          </mc:Fallback>
        </mc:AlternateContent>
      </w:r>
      <w:r/>
    </w:p>
    <w:p>
      <w:pPr>
        <w:pBdr/>
        <w:spacing w:line="240" w:lineRule="auto"/>
        <w:ind/>
        <w:jc w:val="both"/>
        <w:rPr/>
      </w:pPr>
      <w:r>
        <w:t xml:space="preserve">Dans le cas de l’ATP, le pentose est le ribose, la base azotée de l’adénine. Adénine + ribose = adénosine. (Un nucléoside)</w:t>
      </w:r>
      <w:r/>
    </w:p>
    <w:p>
      <w:pPr>
        <w:pBdr/>
        <w:spacing w:line="240" w:lineRule="auto"/>
        <w:ind/>
        <w:jc w:val="both"/>
        <w:rPr/>
      </w:pPr>
      <w:r/>
      <w:r/>
    </w:p>
    <w:p>
      <w:pPr>
        <w:pBdr/>
        <w:spacing w:line="240" w:lineRule="auto"/>
        <w:ind/>
        <w:jc w:val="both"/>
        <w:rPr/>
      </w:pPr>
      <w:r>
        <w:t xml:space="preserve">L’ATP sert à</w:t>
      </w:r>
      <w:r/>
    </w:p>
    <w:p>
      <w:pPr>
        <w:pStyle w:val="735"/>
        <w:numPr>
          <w:ilvl w:val="0"/>
          <w:numId w:val="19"/>
        </w:numPr>
        <w:pBdr/>
        <w:spacing w:line="240" w:lineRule="auto"/>
        <w:ind/>
        <w:jc w:val="both"/>
        <w:rPr/>
      </w:pPr>
      <w:r>
        <w:t xml:space="preserve">L’ATPase Na-K environ 10%</w:t>
      </w:r>
      <w:r/>
    </w:p>
    <w:p>
      <w:pPr>
        <w:pStyle w:val="735"/>
        <w:numPr>
          <w:ilvl w:val="0"/>
          <w:numId w:val="19"/>
        </w:numPr>
        <w:pBdr/>
        <w:spacing w:line="240" w:lineRule="auto"/>
        <w:ind/>
        <w:jc w:val="both"/>
        <w:rPr/>
      </w:pPr>
      <w:r>
        <w:t xml:space="preserve">ATPase Ca-Mg environ 20 à 30%</w:t>
      </w:r>
      <w:r/>
    </w:p>
    <w:p>
      <w:pPr>
        <w:pStyle w:val="735"/>
        <w:numPr>
          <w:ilvl w:val="0"/>
          <w:numId w:val="19"/>
        </w:numPr>
        <w:pBdr/>
        <w:spacing w:line="240" w:lineRule="auto"/>
        <w:ind/>
        <w:jc w:val="both"/>
        <w:rPr/>
      </w:pPr>
      <w:r>
        <w:t xml:space="preserve">ATP se fixe sur les chaines légères de la myosine, environ 5% pour la phosphorylation de ces chaines</w:t>
      </w:r>
      <w:r/>
    </w:p>
    <w:p>
      <w:pPr>
        <w:pStyle w:val="735"/>
        <w:numPr>
          <w:ilvl w:val="0"/>
          <w:numId w:val="19"/>
        </w:numPr>
        <w:pBdr/>
        <w:spacing w:line="240" w:lineRule="auto"/>
        <w:ind/>
        <w:jc w:val="both"/>
        <w:rPr/>
      </w:pPr>
      <w:r>
        <w:t xml:space="preserve">Et 65 à 80% par la myosine ATPase</w:t>
      </w:r>
      <w:r/>
    </w:p>
    <w:p>
      <w:pPr>
        <w:pStyle w:val="717"/>
        <w:pBdr/>
        <w:spacing/>
        <w:ind/>
        <w:jc w:val="both"/>
        <w:rPr/>
      </w:pPr>
      <w:r>
        <w:t xml:space="preserve">Métabolisme cellulaire</w:t>
      </w:r>
      <w:r/>
    </w:p>
    <w:p>
      <w:pPr>
        <w:pStyle w:val="718"/>
        <w:pBdr/>
        <w:spacing/>
        <w:ind/>
        <w:jc w:val="both"/>
        <w:rPr>
          <w:highlight w:val="none"/>
        </w:rPr>
      </w:pPr>
      <w:r>
        <w:rPr>
          <w:highlight w:val="none"/>
        </w:rPr>
        <w:t xml:space="preserve">La Glycolyse</w:t>
      </w:r>
      <w:r>
        <w:rPr>
          <w:highlight w:val="none"/>
        </w:rPr>
      </w:r>
    </w:p>
    <w:p>
      <w:pPr>
        <w:pBdr/>
        <w:spacing w:line="240" w:lineRule="auto"/>
        <w:ind/>
        <w:jc w:val="both"/>
        <w:rPr/>
      </w:pPr>
      <w:r>
        <w:t xml:space="preserve">Elle se déroule dans le </w:t>
      </w:r>
      <w:r>
        <w:rPr>
          <w:b/>
        </w:rPr>
        <w:t xml:space="preserve">cytosol</w:t>
      </w:r>
      <w:r>
        <w:t xml:space="preserve">, c’est le catabolisme du glucose en </w:t>
      </w:r>
      <w:r>
        <w:rPr>
          <w:b/>
        </w:rPr>
        <w:t xml:space="preserve">pyruvate</w:t>
      </w:r>
      <w:r>
        <w:t xml:space="preserve">. Elle est composée de 10 étapes, au cours desquelles on a :</w:t>
      </w:r>
      <w:r/>
    </w:p>
    <w:p>
      <w:pPr>
        <w:pBdr/>
        <w:spacing w:line="240" w:lineRule="auto"/>
        <w:ind/>
        <w:jc w:val="both"/>
        <w:rPr>
          <w:b/>
        </w:rPr>
      </w:pPr>
      <w:r>
        <w:rPr>
          <w:b/>
        </w:rPr>
        <w:t xml:space="preserve">Glucose → 2 pyruvates</w:t>
      </w:r>
      <w:r>
        <w:rPr>
          <w:b/>
        </w:rPr>
      </w:r>
    </w:p>
    <w:p>
      <w:pPr>
        <w:pBdr/>
        <w:spacing w:line="240" w:lineRule="auto"/>
        <w:ind/>
        <w:jc w:val="both"/>
        <w:rPr/>
      </w:pPr>
      <w:r>
        <w:t xml:space="preserve">On peut identifier 3 phases principales.</w:t>
      </w:r>
      <w:r/>
    </w:p>
    <w:p>
      <w:pPr>
        <w:numPr>
          <w:ilvl w:val="0"/>
          <w:numId w:val="15"/>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pPr>
      <w:r>
        <w:rPr>
          <w:b/>
          <w:color w:val="c00000"/>
        </w:rPr>
        <w:t xml:space="preserve">L’activation du glucose </w:t>
      </w:r>
      <w:r>
        <w:rPr>
          <w:i/>
          <w:color w:val="a5a5a5"/>
        </w:rPr>
        <w:t xml:space="preserve">(Glucose → fructose 1,6-biphosphate</w:t>
      </w:r>
      <w:r>
        <w:rPr>
          <w:i/>
          <w:color w:val="a5a5a5"/>
        </w:rPr>
        <w:t xml:space="preserve"> via hexokinase/glucokinase</w:t>
      </w:r>
      <w:r>
        <w:rPr>
          <w:i/>
          <w:color w:val="a5a5a5"/>
        </w:rPr>
        <w:t xml:space="preserve">)</w:t>
      </w:r>
      <w:r/>
    </w:p>
    <w:p>
      <w:pPr>
        <w:pBdr>
          <w:top w:val="none" w:color="000000" w:sz="4" w:space="0"/>
          <w:left w:val="none" w:color="000000" w:sz="4" w:space="0"/>
          <w:bottom w:val="none" w:color="000000" w:sz="4" w:space="0"/>
          <w:right w:val="none" w:color="000000" w:sz="4" w:space="0"/>
          <w:between w:val="none" w:color="000000" w:sz="4" w:space="0"/>
        </w:pBdr>
        <w:spacing w:after="0" w:line="240" w:lineRule="auto"/>
        <w:ind w:left="720"/>
        <w:jc w:val="both"/>
        <w:rPr>
          <w:color w:val="000000"/>
        </w:rPr>
      </w:pPr>
      <w:r>
        <w:rPr>
          <w:color w:val="000000"/>
        </w:rPr>
        <w:t xml:space="preserve">Cette phase consomme 2 ATP</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after="0" w:line="240" w:lineRule="auto"/>
        <w:ind w:left="720"/>
        <w:jc w:val="both"/>
        <w:rPr>
          <w:color w:val="000000"/>
        </w:rPr>
      </w:pPr>
      <w:r>
        <w:rPr>
          <w:color w:val="000000"/>
        </w:rPr>
      </w:r>
      <w:r>
        <w:rPr>
          <w:color w:val="000000"/>
        </w:rPr>
      </w:r>
    </w:p>
    <w:p>
      <w:pPr>
        <w:numPr>
          <w:ilvl w:val="0"/>
          <w:numId w:val="15"/>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color w:val="c00000"/>
        </w:rPr>
      </w:pPr>
      <w:r>
        <w:rPr>
          <w:b/>
          <w:color w:val="c00000"/>
        </w:rPr>
        <w:t xml:space="preserve">La scission </w:t>
      </w:r>
      <w:r>
        <w:rPr>
          <w:i/>
          <w:color w:val="a5a5a5"/>
        </w:rPr>
        <w:t xml:space="preserve">(fructose 1,6-biphosphate → 2(3-Phosphoglycéraldhéyde))</w:t>
      </w:r>
      <w:r>
        <w:rPr>
          <w:color w:val="c00000"/>
        </w:rPr>
      </w:r>
    </w:p>
    <w:p>
      <w:pPr>
        <w:pBdr>
          <w:top w:val="none" w:color="000000" w:sz="4" w:space="0"/>
          <w:left w:val="none" w:color="000000" w:sz="4" w:space="0"/>
          <w:bottom w:val="none" w:color="000000" w:sz="4" w:space="0"/>
          <w:right w:val="none" w:color="000000" w:sz="4" w:space="0"/>
          <w:between w:val="none" w:color="000000" w:sz="4" w:space="0"/>
        </w:pBdr>
        <w:spacing w:after="0" w:line="240" w:lineRule="auto"/>
        <w:ind w:left="720"/>
        <w:jc w:val="both"/>
        <w:rPr>
          <w:color w:val="000000"/>
        </w:rPr>
      </w:pPr>
      <w:r>
        <w:rPr>
          <w:color w:val="000000"/>
        </w:rPr>
        <w:t xml:space="preserve">A partir de là, on a toujours 2 </w:t>
      </w:r>
      <w:r>
        <w:rPr>
          <w:b/>
          <w:color w:val="000000"/>
        </w:rPr>
        <w:t xml:space="preserve">métabolites</w:t>
      </w:r>
      <w:r>
        <w:rPr>
          <w:color w:val="000000"/>
        </w:rPr>
        <w:t xml:space="preserve"> impliqués</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after="0" w:line="240" w:lineRule="auto"/>
        <w:ind w:left="720"/>
        <w:jc w:val="both"/>
        <w:rPr>
          <w:color w:val="000000"/>
        </w:rPr>
      </w:pPr>
      <w:r>
        <w:rPr>
          <w:color w:val="000000"/>
        </w:rPr>
      </w:r>
      <w:r>
        <w:rPr>
          <w:color w:val="000000"/>
        </w:rPr>
      </w:r>
    </w:p>
    <w:p>
      <w:pPr>
        <w:numPr>
          <w:ilvl w:val="0"/>
          <w:numId w:val="15"/>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color w:val="c00000"/>
        </w:rPr>
      </w:pPr>
      <w:r>
        <w:rPr>
          <w:b/>
          <w:color w:val="c00000"/>
        </w:rPr>
        <w:t xml:space="preserve">L’oxydation </w:t>
      </w:r>
      <w:r>
        <w:rPr>
          <w:color w:val="c00000"/>
        </w:rPr>
      </w:r>
    </w:p>
    <w:p>
      <w:pPr>
        <w:pBdr>
          <w:top w:val="none" w:color="000000" w:sz="4" w:space="0"/>
          <w:left w:val="none" w:color="000000" w:sz="4" w:space="0"/>
          <w:bottom w:val="none" w:color="000000" w:sz="4" w:space="0"/>
          <w:right w:val="none" w:color="000000" w:sz="4" w:space="0"/>
          <w:between w:val="none" w:color="000000" w:sz="4" w:space="0"/>
        </w:pBdr>
        <w:spacing w:after="0" w:line="240" w:lineRule="auto"/>
        <w:ind w:left="720"/>
        <w:jc w:val="both"/>
        <w:rPr>
          <w:b/>
          <w:color w:val="000000"/>
          <w:vertAlign w:val="subscript"/>
        </w:rPr>
      </w:pPr>
      <w:r>
        <w:rPr>
          <w:color w:val="000000"/>
        </w:rPr>
        <w:t xml:space="preserve">On a une oxydation : </w:t>
      </w:r>
      <w:r>
        <w:rPr>
          <w:b/>
          <w:color w:val="000000"/>
        </w:rPr>
        <w:t xml:space="preserve">NAD → NADH</w:t>
      </w:r>
      <w:r>
        <w:rPr>
          <w:b/>
          <w:color w:val="000000"/>
          <w:vertAlign w:val="subscript"/>
        </w:rPr>
        <w:t xml:space="preserve">2</w:t>
      </w:r>
      <w:r>
        <w:rPr>
          <w:b/>
          <w:color w:val="000000"/>
          <w:vertAlign w:val="subscript"/>
        </w:rPr>
      </w:r>
    </w:p>
    <w:p>
      <w:pPr>
        <w:pBdr>
          <w:top w:val="none" w:color="000000" w:sz="4" w:space="0"/>
          <w:left w:val="none" w:color="000000" w:sz="4" w:space="0"/>
          <w:bottom w:val="none" w:color="000000" w:sz="4" w:space="0"/>
          <w:right w:val="none" w:color="000000" w:sz="4" w:space="0"/>
          <w:between w:val="none" w:color="000000" w:sz="4" w:space="0"/>
        </w:pBdr>
        <w:spacing w:line="240" w:lineRule="auto"/>
        <w:ind w:left="720"/>
        <w:jc w:val="both"/>
        <w:rPr>
          <w:b/>
          <w:color w:val="000000"/>
          <w:vertAlign w:val="subscript"/>
        </w:rPr>
      </w:pPr>
      <w:r>
        <w:rPr>
          <w:b/>
          <w:color w:val="000000"/>
          <w:vertAlign w:val="subscript"/>
        </w:rPr>
      </w:r>
      <w:r>
        <w:rPr>
          <w:b/>
          <w:color w:val="000000"/>
          <w:vertAlign w:val="subscript"/>
        </w:rPr>
      </w:r>
    </w:p>
    <w:p>
      <w:pPr>
        <w:pBdr/>
        <w:spacing w:line="240" w:lineRule="auto"/>
        <w:ind/>
        <w:jc w:val="both"/>
        <w:rPr/>
      </w:pPr>
      <w:r>
        <w:t xml:space="preserve">Bilan un peu plus détaillé :</w:t>
      </w:r>
      <w:r/>
    </w:p>
    <w:p>
      <w:pPr>
        <w:pBdr>
          <w:top w:val="none" w:color="000000" w:sz="4" w:space="0"/>
          <w:left w:val="none" w:color="000000" w:sz="4" w:space="0"/>
          <w:bottom w:val="none" w:color="000000" w:sz="4" w:space="0"/>
          <w:right w:val="none" w:color="000000" w:sz="4" w:space="0"/>
          <w:between w:val="none" w:color="000000" w:sz="4" w:space="0"/>
        </w:pBdr>
        <w:spacing w:after="240"/>
        <w:ind w:right="936" w:left="936"/>
        <w:jc w:val="both"/>
        <w:rPr>
          <w:smallCaps/>
          <w:color w:val="c55911"/>
          <w:sz w:val="24"/>
          <w:szCs w:val="24"/>
        </w:rPr>
      </w:pPr>
      <w:r>
        <w:rPr>
          <w:smallCaps/>
          <w:color w:val="c55911"/>
          <w:sz w:val="24"/>
          <w:szCs w:val="24"/>
        </w:rPr>
        <w:t xml:space="preserve">Glucose + 2 ATP → 4 ATP + 2 pyruvates + 2 NADH</w:t>
      </w:r>
      <w:r>
        <w:rPr>
          <w:smallCaps/>
          <w:color w:val="c55911"/>
          <w:sz w:val="24"/>
          <w:szCs w:val="24"/>
          <w:vertAlign w:val="subscript"/>
        </w:rPr>
        <w:t xml:space="preserve">2</w:t>
      </w:r>
      <w:r>
        <w:rPr>
          <w:smallCaps/>
          <w:color w:val="c55911"/>
          <w:sz w:val="24"/>
          <w:szCs w:val="24"/>
        </w:rPr>
        <w:t xml:space="preserve"> + 2 H</w:t>
      </w:r>
      <w:r>
        <w:rPr>
          <w:smallCaps/>
          <w:color w:val="c55911"/>
          <w:sz w:val="24"/>
          <w:szCs w:val="24"/>
          <w:vertAlign w:val="subscript"/>
        </w:rPr>
        <w:t xml:space="preserve">2</w:t>
      </w:r>
      <w:r>
        <w:rPr>
          <w:smallCaps/>
          <w:color w:val="c55911"/>
          <w:sz w:val="24"/>
          <w:szCs w:val="24"/>
        </w:rPr>
        <w:t xml:space="preserve">O</w:t>
      </w:r>
      <w:r>
        <w:rPr>
          <w:smallCaps/>
          <w:color w:val="c55911"/>
          <w:sz w:val="24"/>
          <w:szCs w:val="24"/>
        </w:rPr>
      </w:r>
    </w:p>
    <w:p>
      <w:pPr>
        <w:pStyle w:val="719"/>
        <w:pBdr/>
        <w:spacing/>
        <w:ind/>
        <w:jc w:val="both"/>
        <w:rPr>
          <w:highlight w:val="none"/>
        </w:rPr>
      </w:pPr>
      <w:r>
        <w:rPr>
          <w:highlight w:val="none"/>
        </w:rPr>
        <w:t xml:space="preserve">Glycogénolyse</w:t>
      </w:r>
      <w:r>
        <w:rPr>
          <w:highlight w:val="none"/>
        </w:rPr>
        <w:t xml:space="preserve"> </w:t>
      </w:r>
      <w:r>
        <w:rPr>
          <w:highlight w:val="none"/>
        </w:rPr>
      </w:r>
    </w:p>
    <w:p>
      <w:pPr>
        <w:pBdr/>
        <w:spacing/>
        <w:ind/>
        <w:jc w:val="both"/>
        <w:rPr>
          <w:b/>
        </w:rPr>
      </w:pPr>
      <w:r>
        <w:rPr>
          <w:b/>
        </w:rPr>
        <w:t xml:space="preserve">Glycogène → G-6-P → 2 Pyruvates → 2 Lactates</w:t>
      </w:r>
      <w:r>
        <w:rPr>
          <w:b/>
        </w:rPr>
      </w:r>
    </w:p>
    <w:p>
      <w:pPr>
        <w:pBdr/>
        <w:spacing/>
        <w:ind/>
        <w:jc w:val="both"/>
        <w:rPr/>
      </w:pPr>
      <w:r>
        <w:t xml:space="preserve">Processus similaire à la glycolyse mais utiliser un ATP de moins : il produit </w:t>
      </w:r>
      <w:r>
        <w:rPr>
          <w:b/>
        </w:rPr>
        <w:t xml:space="preserve">3 ATP.</w:t>
      </w:r>
      <w:r/>
    </w:p>
    <w:p>
      <w:pPr>
        <w:pStyle w:val="719"/>
        <w:pBdr/>
        <w:spacing/>
        <w:ind/>
        <w:jc w:val="both"/>
        <w:rPr/>
      </w:pPr>
      <w:r>
        <w:t xml:space="preserve">Le devenir du pyruvate</w:t>
      </w:r>
      <w:r/>
    </w:p>
    <w:p>
      <w:pPr>
        <w:numPr>
          <w:ilvl w:val="0"/>
          <w:numId w:val="10"/>
        </w:numPr>
        <w:pBdr/>
        <w:spacing/>
        <w:ind/>
        <w:jc w:val="both"/>
        <w:rPr/>
      </w:pPr>
      <w:r>
        <w:t xml:space="preserve">Souvent par les fibres de Type I, et produit par les fibres de Type II</w:t>
      </w:r>
      <w:r/>
    </w:p>
    <w:p>
      <w:pPr>
        <w:numPr>
          <w:ilvl w:val="0"/>
          <w:numId w:val="10"/>
        </w:numPr>
        <w:pBdr/>
        <w:spacing/>
        <w:ind/>
        <w:jc w:val="both"/>
        <w:rPr/>
      </w:pPr>
      <w:r>
        <w:t xml:space="preserve">80 à 90% du lactate change de cellule pour être oxydé par diffusion passive, transport facilité ou par l’intermédiaire des MCTs (MonoCarboxylate Transporters)</w:t>
      </w:r>
      <w:r/>
    </w:p>
    <w:p>
      <w:pPr>
        <w:numPr>
          <w:ilvl w:val="0"/>
          <w:numId w:val="10"/>
        </w:numPr>
        <w:pBdr/>
        <w:spacing/>
        <w:ind/>
        <w:jc w:val="both"/>
        <w:rPr/>
      </w:pPr>
      <w:r>
        <w:t xml:space="preserve">Il peut également être transformé en acide pyruvique puis en </w:t>
      </w:r>
      <w:r>
        <w:rPr>
          <w:i/>
        </w:rPr>
        <w:t xml:space="preserve">glucose</w:t>
      </w:r>
      <w:r>
        <w:t xml:space="preserve"> dans le foie : </w:t>
      </w:r>
      <w:r>
        <w:rPr>
          <w:b/>
          <w:i/>
        </w:rPr>
        <w:t xml:space="preserve">cycle de Cori</w:t>
      </w:r>
      <w:r/>
    </w:p>
    <w:p>
      <w:pPr>
        <w:pBdr>
          <w:top w:val="none" w:color="000000" w:sz="4" w:space="0"/>
          <w:left w:val="none" w:color="000000" w:sz="4" w:space="0"/>
          <w:bottom w:val="none" w:color="000000" w:sz="4" w:space="0"/>
          <w:right w:val="none" w:color="000000" w:sz="4" w:space="0"/>
          <w:between w:val="none" w:color="000000" w:sz="4" w:space="0"/>
        </w:pBdr>
        <w:spacing w:after="240"/>
        <w:ind w:right="936" w:left="936"/>
        <w:jc w:val="both"/>
        <w:rPr>
          <w:smallCaps/>
          <w:color w:val="c55911"/>
          <w:sz w:val="24"/>
          <w:szCs w:val="24"/>
          <w:vertAlign w:val="superscript"/>
        </w:rPr>
      </w:pPr>
      <w:r>
        <w:rPr>
          <w:smallCaps/>
          <w:color w:val="c55911"/>
          <w:sz w:val="24"/>
          <w:szCs w:val="24"/>
        </w:rPr>
        <w:t xml:space="preserve">Pyruvate → Acide Lactique → Lactate + H</w:t>
      </w:r>
      <w:r>
        <w:rPr>
          <w:smallCaps/>
          <w:color w:val="c55911"/>
          <w:sz w:val="24"/>
          <w:szCs w:val="24"/>
          <w:vertAlign w:val="superscript"/>
        </w:rPr>
        <w:t xml:space="preserve">+</w:t>
      </w:r>
      <w:r>
        <w:rPr>
          <w:smallCaps/>
          <w:color w:val="c55911"/>
          <w:sz w:val="24"/>
          <w:szCs w:val="24"/>
          <w:vertAlign w:val="superscript"/>
        </w:rPr>
      </w:r>
    </w:p>
    <w:p>
      <w:pPr>
        <w:pBdr/>
        <w:spacing/>
        <w:ind/>
        <w:jc w:val="both"/>
        <w:rPr/>
      </w:pPr>
      <w:r>
        <w:t xml:space="preserve">L’oxydation du Lactate dans les mitochondries produit </w:t>
      </w:r>
      <w:r>
        <w:rPr>
          <w:b/>
        </w:rPr>
        <w:t xml:space="preserve">17 ATP</w:t>
      </w:r>
      <w:r>
        <w:t xml:space="preserve">, les ions H</w:t>
      </w:r>
      <w:r>
        <w:rPr>
          <w:vertAlign w:val="superscript"/>
        </w:rPr>
        <w:t xml:space="preserve">+ </w:t>
      </w:r>
      <w:r>
        <w:t xml:space="preserve">par diminution du Ph entrainent un </w:t>
      </w:r>
      <w:r>
        <w:rPr>
          <w:b/>
        </w:rPr>
        <w:t xml:space="preserve">acidose</w:t>
      </w:r>
      <w:r>
        <w:t xml:space="preserve"> et l’arrêt de l’effort.</w:t>
      </w:r>
      <w:r/>
    </w:p>
    <w:p>
      <w:pPr>
        <w:pBdr/>
        <w:spacing/>
        <w:ind/>
        <w:jc w:val="both"/>
        <w:rPr/>
      </w:pPr>
      <w:r>
        <w:t xml:space="preserve">Ou le pyruvate entre dans la mitochondrie et devient de l’</w:t>
      </w:r>
      <w:r>
        <w:rPr>
          <w:b/>
        </w:rPr>
        <w:t xml:space="preserve">Acétyl-CoA </w:t>
      </w:r>
      <w:r>
        <w:rPr>
          <w:b/>
        </w:rPr>
        <w:t xml:space="preserve">(via </w:t>
      </w:r>
      <w:r>
        <w:rPr>
          <w:b/>
        </w:rPr>
        <w:t xml:space="preserve">la pyruvate</w:t>
      </w:r>
      <w:r>
        <w:rPr>
          <w:b/>
        </w:rPr>
        <w:t xml:space="preserve"> déshydrogénase) </w:t>
      </w:r>
      <w:r>
        <w:t xml:space="preserve">qui entraîne le cycle de Krebs et les phosphorylations oxydatives. </w:t>
      </w:r>
      <w:r/>
    </w:p>
    <w:p>
      <w:pPr>
        <w:pBdr/>
        <w:spacing/>
        <w:ind/>
        <w:jc w:val="both"/>
        <w:rPr>
          <w:color w:val="c00000"/>
        </w:rPr>
      </w:pPr>
      <w:r>
        <w:rPr>
          <w:color w:val="c00000"/>
        </w:rPr>
        <w:t xml:space="preserve">Le devenir du pyruvate ne dépend pas de la disponibilité en O</w:t>
      </w:r>
      <w:r>
        <w:rPr>
          <w:color w:val="c00000"/>
          <w:vertAlign w:val="subscript"/>
        </w:rPr>
        <w:t xml:space="preserve">2</w:t>
      </w:r>
      <w:r>
        <w:rPr>
          <w:color w:val="c00000"/>
        </w:rPr>
        <w:t xml:space="preserve"> car au niveau du muscle l’oxygène est toujours en quantité suffisante.</w:t>
      </w:r>
      <w:r>
        <w:rPr>
          <w:color w:val="c00000"/>
        </w:rPr>
      </w:r>
    </w:p>
    <w:p>
      <w:pPr>
        <w:pBdr/>
        <w:spacing/>
        <w:ind/>
        <w:jc w:val="both"/>
        <w:rPr>
          <w:color w:val="c00000"/>
        </w:rPr>
      </w:pPr>
      <w:r>
        <w:rPr>
          <w:color w:val="c00000"/>
        </w:rPr>
        <w:t xml:space="preserve">Quand la glycolyse est en action pendant un moment, les mitochondries sont saturées et le pyruvate se transforme alors en acide lactique pour obtenir un substrat énergétique plus rapide d’accès.</w:t>
      </w:r>
      <w:r>
        <w:rPr>
          <w:color w:val="c00000"/>
        </w:rPr>
      </w:r>
    </w:p>
    <w:p>
      <w:pPr>
        <w:pBdr/>
        <w:spacing/>
        <w:ind/>
        <w:jc w:val="both"/>
        <w:rPr/>
      </w:pPr>
      <w:r>
        <w:t xml:space="preserve">L’apport de glucose exogène à raison de 60-75g/h pendant un exercice de course à 70% VO2max réduit la déplétion glycogénique d’environ 25% dans les fibres de type I.</w:t>
      </w:r>
      <w:r/>
    </w:p>
    <w:p>
      <w:pPr>
        <w:pStyle w:val="719"/>
        <w:pBdr/>
        <w:spacing/>
        <w:ind/>
        <w:rPr>
          <w:highlight w:val="none"/>
        </w:rPr>
      </w:pPr>
      <w:r>
        <w:rPr>
          <w:highlight w:val="none"/>
        </w:rPr>
        <w:t xml:space="preserve">Important</w:t>
      </w:r>
      <w:r>
        <w:rPr>
          <w:highlight w:val="none"/>
        </w:rPr>
        <w:t xml:space="preserve"> !</w:t>
      </w:r>
      <w:r>
        <w:rPr>
          <w:highlight w:val="none"/>
        </w:rPr>
      </w:r>
    </w:p>
    <w:p>
      <w:pPr>
        <w:pBdr/>
        <w:spacing/>
        <w:ind/>
        <w:rPr/>
      </w:pPr>
      <w:r>
        <w:rPr>
          <w:rStyle w:val="738"/>
        </w:rPr>
        <w:t xml:space="preserve">Robergs</w:t>
      </w:r>
      <w:r>
        <w:rPr>
          <w:rStyle w:val="738"/>
        </w:rPr>
        <w:t xml:space="preserve"> et coll (2015)</w:t>
      </w:r>
      <w:r>
        <w:t xml:space="preserve"> affirment que l’acidose lactique n’est pas liée à une production de protons par le lactate. L’acidose métabolique résultant de la glycolyse est issue principalement de </w:t>
      </w:r>
      <w:r>
        <w:rPr>
          <w:color w:val="548dd4" w:themeColor="text2" w:themeTint="99"/>
        </w:rPr>
        <w:t xml:space="preserve">l’hydrolyse de l’ATP par la myosine ATPase</w:t>
      </w:r>
      <w:r>
        <w:t xml:space="preserve">. Ainsi, </w:t>
      </w:r>
      <w:r>
        <w:rPr>
          <w:color w:val="c00000"/>
        </w:rPr>
        <w:t xml:space="preserve">l’hydrolyse de l’ATP</w:t>
      </w:r>
      <w:r>
        <w:t xml:space="preserve">, et non l’accumulation de lactate, serait la source dominante de la production acide qui accompagne l’anaérobiose.</w:t>
      </w:r>
      <w:r>
        <w:t xml:space="preserve"> Lors d’exercices intenses !!!</w:t>
      </w:r>
      <w:r/>
    </w:p>
    <w:p>
      <w:pPr>
        <w:pBdr/>
        <w:spacing/>
        <w:ind/>
        <w:rPr>
          <w:color w:val="1b1f23"/>
        </w:rPr>
      </w:pPr>
      <w:r/>
      <m:oMathPara>
        <m:oMathParaPr/>
        <m:oMath>
          <m:r>
            <w:rPr>
              <w:rFonts w:ascii="Cambria Math" w:hAnsi="Cambria Math"/>
              <w:color w:val="1b1f23"/>
            </w:rPr>
            <m:rPr>
              <m:sty m:val="p"/>
            </m:rPr>
            <m:t>ATP+H</m:t>
          </m:r>
          <m:r>
            <w:rPr>
              <w:rFonts w:ascii="Cambria Math" w:hAnsi="Cambria Math"/>
              <w:color w:val="1b1f23"/>
              <w:vertAlign w:val="subscript"/>
            </w:rPr>
            <m:rPr>
              <m:sty m:val="p"/>
            </m:rPr>
            <m:t>2</m:t>
          </m:r>
          <m:r>
            <w:rPr>
              <w:rFonts w:ascii="Cambria Math" w:hAnsi="Cambria Math"/>
              <w:color w:val="1b1f23"/>
            </w:rPr>
            <m:rPr>
              <m:sty m:val="p"/>
            </m:rPr>
            <m:t>O→ADP+énergie+P</m:t>
          </m:r>
          <m:r>
            <w:rPr>
              <w:rFonts w:ascii="Cambria Math" w:hAnsi="Cambria Math"/>
              <w:color w:val="1b1f23"/>
              <w:vertAlign w:val="subscript"/>
            </w:rPr>
            <m:rPr>
              <m:sty m:val="p"/>
            </m:rPr>
            <m:t>i</m:t>
          </m:r>
          <m:r>
            <w:rPr>
              <w:rFonts w:ascii="Cambria Math" w:hAnsi="Cambria Math"/>
              <w:color w:val="1b1f23"/>
            </w:rPr>
            <m:rPr>
              <m:sty m:val="p"/>
            </m:rPr>
            <m:t> +O</m:t>
          </m:r>
          <m:sSup>
            <m:sSupPr>
              <m:ctrlPr>
                <w:rPr>
                  <w:rFonts w:ascii="Cambria Math" w:hAnsi="Cambria Math"/>
                  <w:color w:val="1b1f23"/>
                  <w:vertAlign w:val="superscript"/>
                </w:rPr>
              </m:ctrlPr>
            </m:sSupPr>
            <m:e>
              <m:r>
                <w:rPr>
                  <w:rFonts w:ascii="Cambria Math" w:hAnsi="Cambria Math"/>
                  <w:color w:val="1b1f23"/>
                </w:rPr>
                <m:rPr>
                  <m:sty m:val="p"/>
                </m:rPr>
                <m:t>H</m:t>
              </m:r>
            </m:e>
            <m:sup>
              <m:r>
                <w:rPr>
                  <w:rFonts w:ascii="Cambria Math" w:hAnsi="Cambria Math"/>
                  <w:color w:val="1b1f23"/>
                  <w:vertAlign w:val="superscript"/>
                </w:rPr>
                <m:rPr>
                  <m:sty m:val="p"/>
                </m:rPr>
                <m:t>-</m:t>
              </m:r>
            </m:sup>
          </m:sSup>
          <m:r>
            <w:rPr>
              <w:rFonts w:ascii="Cambria Math" w:hAnsi="Cambria Math"/>
              <w:color w:val="1b1f23"/>
            </w:rPr>
            <m:rPr>
              <m:sty m:val="p"/>
            </m:rPr>
            <m:t> +</m:t>
          </m:r>
          <m:sSup>
            <m:sSupPr>
              <m:ctrlPr>
                <w:rPr>
                  <w:rFonts w:ascii="Cambria Math" w:hAnsi="Cambria Math"/>
                  <w:color w:val="1b1f23"/>
                </w:rPr>
              </m:ctrlPr>
            </m:sSupPr>
            <m:e>
              <m:r>
                <w:rPr>
                  <w:rFonts w:ascii="Cambria Math" w:hAnsi="Cambria Math"/>
                  <w:color w:val="1b1f23"/>
                </w:rPr>
                <m:rPr>
                  <m:sty m:val="p"/>
                </m:rPr>
                <m:t>H</m:t>
              </m:r>
            </m:e>
            <m:sup>
              <m:r>
                <w:rPr>
                  <w:rFonts w:ascii="Cambria Math" w:hAnsi="Cambria Math"/>
                  <w:color w:val="1b1f23"/>
                </w:rPr>
                <m:rPr>
                  <m:sty m:val="p"/>
                </m:rPr>
                <m:t>+</m:t>
              </m:r>
            </m:sup>
          </m:sSup>
        </m:oMath>
      </m:oMathPara>
      <w:r/>
      <w:r>
        <w:rPr>
          <w:color w:val="1b1f23"/>
        </w:rPr>
      </w:r>
    </w:p>
    <w:p>
      <w:pPr>
        <w:pBdr/>
        <w:spacing/>
        <w:ind/>
        <w:rPr>
          <w:color w:val="1b1f23"/>
        </w:rPr>
      </w:pPr>
      <w:r>
        <w:rPr>
          <w:color w:val="1b1f23"/>
        </w:rPr>
        <w:t xml:space="preserve">Donc deux explications, </w:t>
      </w:r>
      <w:r>
        <w:rPr>
          <w:color w:val="1b1f23"/>
        </w:rPr>
        <w:t xml:space="preserve">ça ne réfute pas</w:t>
      </w:r>
      <w:r>
        <w:rPr>
          <w:color w:val="1b1f23"/>
        </w:rPr>
        <w:t xml:space="preserve"> explication liée au lactate.</w:t>
      </w:r>
      <w:r>
        <w:rPr>
          <w:color w:val="1b1f23"/>
        </w:rPr>
      </w:r>
    </w:p>
    <w:p>
      <w:pPr>
        <w:pBdr/>
        <w:spacing/>
        <w:ind/>
        <w:rPr/>
      </w:pPr>
      <w:r/>
      <w:r/>
    </w:p>
    <w:p>
      <w:pPr>
        <w:pStyle w:val="718"/>
        <w:pBdr/>
        <w:spacing/>
        <w:ind/>
        <w:jc w:val="both"/>
        <w:rPr/>
      </w:pPr>
      <w:r>
        <w:t xml:space="preserve">Synthèse des glucides</w:t>
      </w:r>
      <w:r/>
    </w:p>
    <w:p>
      <w:pPr>
        <w:pStyle w:val="719"/>
        <w:pBdr/>
        <w:spacing/>
        <w:ind/>
        <w:jc w:val="both"/>
        <w:rPr>
          <w:color w:val="2f5496"/>
        </w:rPr>
      </w:pPr>
      <w:r>
        <w:rPr>
          <w:color w:val="2f5496"/>
        </w:rPr>
        <w:t xml:space="preserve">Glycogenèse</w:t>
      </w:r>
      <w:r>
        <w:rPr>
          <w:color w:val="2f5496"/>
        </w:rPr>
      </w:r>
    </w:p>
    <w:p>
      <w:pPr>
        <w:pBdr/>
        <w:spacing w:line="240" w:lineRule="auto"/>
        <w:ind w:firstLine="708"/>
        <w:jc w:val="both"/>
        <w:rPr/>
      </w:pPr>
      <w:r>
        <w:t xml:space="preserve">Le glucose se trouve dans les compartiments sanguins. On colle juste des molécules de glucose pour en faire un polymère.</w:t>
      </w:r>
      <w:r/>
    </w:p>
    <w:p>
      <w:pPr>
        <w:pStyle w:val="719"/>
        <w:pBdr/>
        <w:spacing/>
        <w:ind/>
        <w:jc w:val="both"/>
        <w:rPr>
          <w:color w:val="2f5496"/>
        </w:rPr>
      </w:pPr>
      <w:r>
        <w:rPr>
          <w:color w:val="2f5496"/>
        </w:rPr>
        <w:t xml:space="preserve">La glycogénolyse </w:t>
      </w:r>
      <w:r>
        <w:rPr>
          <w:color w:val="2f5496"/>
        </w:rPr>
      </w:r>
    </w:p>
    <w:p>
      <w:pPr>
        <w:pBdr/>
        <w:spacing w:line="240" w:lineRule="auto"/>
        <w:ind w:firstLine="708"/>
        <w:jc w:val="both"/>
        <w:rPr/>
      </w:pPr>
      <w:r>
        <w:t xml:space="preserve">Le glycogène est un polymère de glucose qui se trouve exclusivement dans le foie et le muscle strié squelettique</w:t>
      </w:r>
      <w:r/>
    </w:p>
    <w:p>
      <w:pPr>
        <w:numPr>
          <w:ilvl w:val="0"/>
          <w:numId w:val="16"/>
        </w:numPr>
        <w:pBdr>
          <w:top w:val="none" w:color="000000" w:sz="4" w:space="0"/>
          <w:left w:val="none" w:color="000000" w:sz="4" w:space="0"/>
          <w:bottom w:val="none" w:color="000000" w:sz="4" w:space="0"/>
          <w:right w:val="none" w:color="000000" w:sz="4" w:space="0"/>
          <w:between w:val="none" w:color="000000" w:sz="4" w:space="0"/>
        </w:pBdr>
        <w:spacing w:line="240" w:lineRule="auto"/>
        <w:ind/>
        <w:jc w:val="both"/>
        <w:rPr/>
      </w:pPr>
      <w:r>
        <w:rPr>
          <w:b/>
          <w:color w:val="c00000"/>
        </w:rPr>
        <w:t xml:space="preserve">Dans le foie</w:t>
      </w:r>
      <w:r>
        <w:rPr>
          <w:color w:val="c00000"/>
        </w:rPr>
        <w:t xml:space="preserve"> </w:t>
      </w:r>
      <w:r>
        <w:rPr>
          <w:color w:val="000000"/>
        </w:rPr>
        <w:t xml:space="preserve">le glycogène peut être dégradé en glucose par phosphatase</w:t>
      </w:r>
      <w:r/>
    </w:p>
    <w:p>
      <w:pPr>
        <w:pBdr>
          <w:top w:val="none" w:color="000000" w:sz="4" w:space="0"/>
          <w:left w:val="none" w:color="000000" w:sz="4" w:space="0"/>
          <w:bottom w:val="none" w:color="000000" w:sz="4" w:space="0"/>
          <w:right w:val="none" w:color="000000" w:sz="4" w:space="0"/>
          <w:between w:val="none" w:color="000000" w:sz="4" w:space="0"/>
        </w:pBdr>
        <w:spacing w:before="160"/>
        <w:ind w:left="720"/>
        <w:jc w:val="both"/>
        <w:rPr>
          <w:color w:val="000000"/>
          <w:sz w:val="24"/>
          <w:szCs w:val="24"/>
        </w:rPr>
      </w:pPr>
      <w:r>
        <w:rPr>
          <w:color w:val="000000"/>
          <w:sz w:val="24"/>
          <w:szCs w:val="24"/>
        </w:rPr>
        <w:t xml:space="preserve">Glycogène → Glucose-6-phosphate → Glucose</w:t>
      </w:r>
      <w:r>
        <w:rPr>
          <w:color w:val="000000"/>
          <w:sz w:val="24"/>
          <w:szCs w:val="24"/>
        </w:rPr>
      </w:r>
    </w:p>
    <w:p>
      <w:pPr>
        <w:pBdr>
          <w:top w:val="none" w:color="000000" w:sz="4" w:space="0"/>
          <w:left w:val="none" w:color="000000" w:sz="4" w:space="0"/>
          <w:bottom w:val="none" w:color="000000" w:sz="4" w:space="0"/>
          <w:right w:val="none" w:color="000000" w:sz="4" w:space="0"/>
          <w:between w:val="none" w:color="000000" w:sz="4" w:space="0"/>
        </w:pBdr>
        <w:spacing w:after="0" w:line="240" w:lineRule="auto"/>
        <w:ind w:left="720"/>
        <w:jc w:val="both"/>
        <w:rPr>
          <w:color w:val="000000"/>
        </w:rPr>
      </w:pPr>
      <w:r>
        <w:rPr>
          <w:color w:val="000000"/>
        </w:rPr>
        <w:t xml:space="preserve">Ce glucose rejoint le sang et </w:t>
      </w:r>
      <w:r>
        <w:rPr>
          <w:i/>
          <w:color w:val="c55911"/>
          <w:sz w:val="20"/>
          <w:szCs w:val="20"/>
        </w:rPr>
        <w:t xml:space="preserve">régule la glycémie</w:t>
      </w:r>
      <w:r>
        <w:rPr>
          <w:color w:val="000000"/>
        </w:rPr>
      </w:r>
    </w:p>
    <w:p>
      <w:pPr>
        <w:pBdr>
          <w:top w:val="none" w:color="000000" w:sz="4" w:space="0"/>
          <w:left w:val="none" w:color="000000" w:sz="4" w:space="0"/>
          <w:bottom w:val="none" w:color="000000" w:sz="4" w:space="0"/>
          <w:right w:val="none" w:color="000000" w:sz="4" w:space="0"/>
          <w:between w:val="none" w:color="000000" w:sz="4" w:space="0"/>
        </w:pBdr>
        <w:spacing w:after="0" w:line="240" w:lineRule="auto"/>
        <w:ind w:left="720"/>
        <w:jc w:val="both"/>
        <w:rPr>
          <w:color w:val="000000"/>
        </w:rPr>
      </w:pPr>
      <w:r>
        <w:rPr>
          <w:color w:val="000000"/>
        </w:rPr>
      </w:r>
      <w:r>
        <w:rPr>
          <w:color w:val="000000"/>
        </w:rPr>
      </w:r>
    </w:p>
    <w:p>
      <w:pPr>
        <w:numPr>
          <w:ilvl w:val="0"/>
          <w:numId w:val="16"/>
        </w:numPr>
        <w:pBdr>
          <w:top w:val="none" w:color="000000" w:sz="4" w:space="0"/>
          <w:left w:val="none" w:color="000000" w:sz="4" w:space="0"/>
          <w:bottom w:val="none" w:color="000000" w:sz="4" w:space="0"/>
          <w:right w:val="none" w:color="000000" w:sz="4" w:space="0"/>
          <w:between w:val="none" w:color="000000" w:sz="4" w:space="0"/>
        </w:pBdr>
        <w:spacing w:line="240" w:lineRule="auto"/>
        <w:ind/>
        <w:jc w:val="both"/>
        <w:rPr>
          <w:i/>
          <w:color w:val="c55911"/>
          <w:sz w:val="20"/>
          <w:szCs w:val="20"/>
        </w:rPr>
      </w:pPr>
      <w:r>
        <w:rPr>
          <w:b/>
          <w:color w:val="c00000"/>
        </w:rPr>
        <w:t xml:space="preserve">Dans le muscle strié squelettique</w:t>
      </w:r>
      <w:r>
        <w:rPr>
          <w:color w:val="000000"/>
        </w:rPr>
        <w:t xml:space="preserve"> le glycogène ne peut être dégradé en glucose,</w:t>
      </w:r>
      <w:r>
        <w:rPr>
          <w:i/>
          <w:color w:val="c55911"/>
          <w:sz w:val="20"/>
          <w:szCs w:val="20"/>
        </w:rPr>
        <w:t xml:space="preserve"> on n’a pas de phosphatase</w:t>
      </w:r>
      <w:r>
        <w:rPr>
          <w:i/>
          <w:color w:val="c55911"/>
          <w:sz w:val="20"/>
          <w:szCs w:val="20"/>
        </w:rPr>
      </w:r>
    </w:p>
    <w:p>
      <w:pPr>
        <w:pBdr>
          <w:top w:val="none" w:color="000000" w:sz="4" w:space="0"/>
          <w:left w:val="none" w:color="000000" w:sz="4" w:space="0"/>
          <w:bottom w:val="none" w:color="000000" w:sz="4" w:space="0"/>
          <w:right w:val="none" w:color="000000" w:sz="4" w:space="0"/>
          <w:between w:val="none" w:color="000000" w:sz="4" w:space="0"/>
        </w:pBdr>
        <w:spacing w:before="160"/>
        <w:ind w:left="720"/>
        <w:jc w:val="both"/>
        <w:rPr>
          <w:color w:val="000000"/>
          <w:sz w:val="24"/>
          <w:szCs w:val="24"/>
        </w:rPr>
      </w:pPr>
      <w:r>
        <w:rPr>
          <w:color w:val="000000"/>
          <w:sz w:val="24"/>
          <w:szCs w:val="24"/>
        </w:rPr>
        <w:t xml:space="preserve">Glycogène → G-6-P → Pyruvate</w:t>
      </w:r>
      <w:r>
        <w:rPr>
          <w:color w:val="000000"/>
          <w:sz w:val="24"/>
          <w:szCs w:val="24"/>
        </w:rPr>
      </w:r>
    </w:p>
    <w:p>
      <w:pPr>
        <w:pBdr/>
        <w:spacing/>
        <w:ind/>
        <w:jc w:val="both"/>
        <w:rPr/>
      </w:pPr>
      <w:r/>
      <w:r/>
    </w:p>
    <w:p>
      <w:pPr>
        <w:pStyle w:val="719"/>
        <w:pBdr/>
        <w:spacing/>
        <w:ind/>
        <w:jc w:val="both"/>
        <w:rPr>
          <w:color w:val="2f5496"/>
        </w:rPr>
      </w:pPr>
      <w:r>
        <w:rPr>
          <w:color w:val="2f5496"/>
        </w:rPr>
        <w:t xml:space="preserve">La néoglucogénèse</w:t>
      </w:r>
      <w:r>
        <w:rPr>
          <w:color w:val="2f5496"/>
        </w:rPr>
      </w:r>
    </w:p>
    <w:p>
      <w:pPr>
        <w:pBdr/>
        <w:spacing/>
        <w:ind/>
        <w:jc w:val="both"/>
        <w:rPr/>
      </w:pPr>
      <w:r>
        <w:rPr>
          <w:color w:val="c55911"/>
        </w:rPr>
        <w:tab/>
      </w:r>
      <w:r>
        <w:t xml:space="preserve">Ce processus se déroule dans le </w:t>
      </w:r>
      <w:r>
        <w:rPr>
          <w:b/>
        </w:rPr>
        <w:t xml:space="preserve">foie et les reins</w:t>
      </w:r>
      <w:r>
        <w:t xml:space="preserve">. On synthétise du glucose avec des substrats non glucidique, dits </w:t>
      </w:r>
      <w:r>
        <w:rPr>
          <w:b/>
          <w:i/>
          <w:color w:val="c55911"/>
          <w:sz w:val="20"/>
          <w:szCs w:val="20"/>
        </w:rPr>
        <w:t xml:space="preserve">glucoformateurs</w:t>
      </w:r>
      <w:r>
        <w:t xml:space="preserve">.</w:t>
      </w:r>
      <w:r/>
    </w:p>
    <w:p>
      <w:pPr>
        <w:pBdr/>
        <w:spacing/>
        <w:ind/>
        <w:jc w:val="both"/>
        <w:rPr/>
      </w:pPr>
      <w:r>
        <w:tab/>
        <w:t xml:space="preserve">Le </w:t>
      </w:r>
      <w:r>
        <w:rPr>
          <w:i/>
          <w:color w:val="c55911"/>
          <w:sz w:val="20"/>
          <w:szCs w:val="20"/>
        </w:rPr>
        <w:t xml:space="preserve">glycérol</w:t>
      </w:r>
      <w:r>
        <w:t xml:space="preserve"> peut devenir du G-3-P et </w:t>
      </w:r>
      <w:r>
        <w:rPr>
          <w:i/>
          <w:color w:val="c55911"/>
          <w:sz w:val="20"/>
          <w:szCs w:val="20"/>
        </w:rPr>
        <w:t xml:space="preserve">certaines protéines</w:t>
      </w:r>
      <w:r>
        <w:t xml:space="preserve"> du pyruvate.</w:t>
      </w:r>
      <w:r/>
    </w:p>
    <w:p>
      <w:pPr>
        <w:pStyle w:val="718"/>
        <w:pBdr/>
        <w:spacing/>
        <w:ind/>
        <w:jc w:val="both"/>
        <w:rPr/>
      </w:pPr>
      <w:r>
        <w:t xml:space="preserve">Métabolisme des lipides</w:t>
      </w:r>
      <w:r/>
    </w:p>
    <w:p>
      <w:pPr>
        <w:pStyle w:val="719"/>
        <w:pBdr/>
        <w:spacing/>
        <w:ind/>
        <w:jc w:val="both"/>
        <w:rPr/>
      </w:pPr>
      <w:r>
        <w:t xml:space="preserve">Métabolisme des TG</w:t>
      </w:r>
      <w:r/>
    </w:p>
    <w:p>
      <w:pPr>
        <w:pBdr/>
        <w:spacing/>
        <w:ind w:firstLine="708"/>
        <w:jc w:val="both"/>
        <w:rPr>
          <w:b/>
        </w:rPr>
      </w:pPr>
      <w:r>
        <w:t xml:space="preserve">Les triglycérides sont la famille des lipides la plus abondante. Ils sont stockés dans les </w:t>
      </w:r>
      <w:r>
        <w:rPr>
          <w:b/>
        </w:rPr>
        <w:t xml:space="preserve">adipocytes</w:t>
      </w:r>
      <w:r>
        <w:t xml:space="preserve"> et les amas d’adipocytes forment le </w:t>
      </w:r>
      <w:r>
        <w:rPr>
          <w:b/>
        </w:rPr>
        <w:t xml:space="preserve">tissu adipeux.</w:t>
      </w:r>
      <w:r>
        <w:rPr>
          <w:b/>
        </w:rPr>
      </w:r>
    </w:p>
    <w:p>
      <w:pPr>
        <w:pStyle w:val="720"/>
        <w:pBdr/>
        <w:spacing/>
        <w:ind/>
        <w:jc w:val="both"/>
        <w:rPr>
          <w:color w:val="2f5496"/>
        </w:rPr>
      </w:pPr>
      <w:r>
        <w:rPr>
          <w:color w:val="2f5496"/>
        </w:rPr>
        <w:t xml:space="preserve">Anabolisme des TG : la Lipogenèse</w:t>
      </w:r>
      <w:r>
        <w:rPr>
          <w:color w:val="2f5496"/>
        </w:rPr>
      </w:r>
    </w:p>
    <w:p>
      <w:pPr>
        <w:pBdr/>
        <w:spacing/>
        <w:ind w:firstLine="708"/>
        <w:jc w:val="both"/>
        <w:rPr/>
      </w:pPr>
      <w:r>
        <w:t xml:space="preserve">Les adipocytes synthétisent et stockent les TG au cours de l’apport alimentaire. Les acides gras sont synthétisés à partir d’ACoA. </w:t>
      </w:r>
      <w:r/>
    </w:p>
    <w:p>
      <w:pPr>
        <w:pStyle w:val="720"/>
        <w:pBdr/>
        <w:spacing/>
        <w:ind/>
        <w:jc w:val="both"/>
        <w:rPr>
          <w:color w:val="2f5496"/>
        </w:rPr>
      </w:pPr>
      <w:r>
        <w:rPr>
          <w:color w:val="2f5496"/>
        </w:rPr>
        <w:t xml:space="preserve">Catabolisme des TG : la Lipolyse</w:t>
      </w:r>
      <w:r>
        <w:rPr>
          <w:color w:val="2f5496"/>
        </w:rPr>
      </w:r>
    </w:p>
    <w:p>
      <w:pPr>
        <w:pBdr/>
        <w:spacing/>
        <w:ind/>
        <w:jc w:val="both"/>
        <w:rPr/>
      </w:pPr>
      <w:r>
        <w:tab/>
      </w:r>
      <w:r>
        <w:rPr>
          <w:b/>
        </w:rPr>
        <w:t xml:space="preserve">Pendant le jeûne</w:t>
      </w:r>
      <w:r>
        <w:t xml:space="preserve"> les adipocytes hydrolysent les TG pour en faire du </w:t>
      </w:r>
      <w:r>
        <w:rPr>
          <w:b/>
        </w:rPr>
        <w:t xml:space="preserve">glycérol</w:t>
      </w:r>
      <w:r>
        <w:t xml:space="preserve"> et </w:t>
      </w:r>
      <w:r>
        <w:rPr>
          <w:b/>
        </w:rPr>
        <w:t xml:space="preserve">3 acides gras</w:t>
      </w:r>
      <w:r>
        <w:t xml:space="preserve"> qui sont libérés dans le sang.</w:t>
      </w:r>
      <w:r/>
    </w:p>
    <w:p>
      <w:pPr>
        <w:pStyle w:val="719"/>
        <w:pBdr/>
        <w:spacing/>
        <w:ind/>
        <w:jc w:val="both"/>
        <w:rPr/>
      </w:pPr>
      <w:r>
        <w:t xml:space="preserve">Métabolisme du glycérol et des acides gras</w:t>
      </w:r>
      <w:r/>
    </w:p>
    <w:p>
      <w:pPr>
        <w:pStyle w:val="720"/>
        <w:pBdr/>
        <w:spacing/>
        <w:ind/>
        <w:jc w:val="both"/>
        <w:rPr>
          <w:color w:val="2f5496"/>
        </w:rPr>
      </w:pPr>
      <w:r>
        <w:rPr>
          <w:color w:val="2f5496"/>
        </w:rPr>
        <w:t xml:space="preserve">Catabolisme du Glycérol</w:t>
      </w:r>
      <w:r>
        <w:rPr>
          <w:color w:val="2f5496"/>
        </w:rPr>
      </w:r>
    </w:p>
    <w:p>
      <w:pPr>
        <w:pBdr/>
        <w:spacing/>
        <w:ind/>
        <w:jc w:val="both"/>
        <w:rPr/>
      </w:pPr>
      <w:r>
        <w:tab/>
        <w:t xml:space="preserve">Le glycérol est transformé en un intermédiaire de la glycolyse : le 3-phosphoaldhéyde. (</w:t>
      </w:r>
      <w:r>
        <w:rPr>
          <w:i/>
          <w:color w:val="7f7f7f"/>
        </w:rPr>
        <w:t xml:space="preserve">3GPA</w:t>
      </w:r>
      <w:r>
        <w:t xml:space="preserve">) Ce 3GPA devient du </w:t>
      </w:r>
      <w:r>
        <w:rPr>
          <w:b/>
        </w:rPr>
        <w:t xml:space="preserve">glucose</w:t>
      </w:r>
      <w:r>
        <w:t xml:space="preserve"> </w:t>
      </w:r>
      <w:r>
        <w:rPr>
          <w:i/>
          <w:color w:val="7f7f7f"/>
        </w:rPr>
        <w:t xml:space="preserve">(néoglucogenèse</w:t>
      </w:r>
      <w:r>
        <w:t xml:space="preserve">) si la </w:t>
      </w:r>
      <w:r>
        <w:rPr>
          <w:i/>
          <w:color w:val="c55911"/>
          <w:sz w:val="20"/>
          <w:szCs w:val="20"/>
        </w:rPr>
        <w:t xml:space="preserve">réserve en ATP est importante</w:t>
      </w:r>
      <w:r>
        <w:t xml:space="preserve">, sinon en </w:t>
      </w:r>
      <w:r>
        <w:rPr>
          <w:b/>
        </w:rPr>
        <w:t xml:space="preserve">pyruvate</w:t>
      </w:r>
      <w:r>
        <w:t xml:space="preserve">.</w:t>
      </w:r>
      <w:r/>
    </w:p>
    <w:p>
      <w:pPr>
        <w:pStyle w:val="720"/>
        <w:pBdr/>
        <w:spacing/>
        <w:ind/>
        <w:jc w:val="both"/>
        <w:rPr>
          <w:color w:val="2f5496"/>
        </w:rPr>
      </w:pPr>
      <w:r>
        <w:rPr>
          <w:color w:val="2f5496"/>
        </w:rPr>
        <w:t xml:space="preserve">Anabolisme du Glycérol</w:t>
      </w:r>
      <w:r>
        <w:rPr>
          <w:color w:val="2f5496"/>
        </w:rPr>
      </w:r>
    </w:p>
    <w:p>
      <w:pPr>
        <w:pBdr/>
        <w:spacing/>
        <w:ind/>
        <w:jc w:val="both"/>
        <w:rPr/>
      </w:pPr>
      <w:r>
        <w:tab/>
        <w:t xml:space="preserve">Il peut être formé à partir d’un intermédiaire du catabolisme du glucose</w:t>
      </w:r>
      <w:r/>
    </w:p>
    <w:p>
      <w:pPr>
        <w:pBdr>
          <w:top w:val="none" w:color="000000" w:sz="4" w:space="0"/>
          <w:left w:val="none" w:color="000000" w:sz="4" w:space="0"/>
          <w:bottom w:val="none" w:color="000000" w:sz="4" w:space="0"/>
          <w:right w:val="none" w:color="000000" w:sz="4" w:space="0"/>
          <w:between w:val="none" w:color="000000" w:sz="4" w:space="0"/>
        </w:pBdr>
        <w:spacing w:before="160"/>
        <w:ind w:left="720"/>
        <w:jc w:val="both"/>
        <w:rPr>
          <w:color w:val="000000"/>
          <w:sz w:val="24"/>
          <w:szCs w:val="24"/>
        </w:rPr>
      </w:pPr>
      <w:r>
        <w:rPr>
          <w:color w:val="000000"/>
          <w:sz w:val="24"/>
          <w:szCs w:val="24"/>
        </w:rPr>
        <w:t xml:space="preserve">Glucose → 3GPA → Glycérol</w:t>
      </w:r>
      <w:r>
        <w:rPr>
          <w:color w:val="000000"/>
          <w:sz w:val="24"/>
          <w:szCs w:val="24"/>
        </w:rPr>
      </w:r>
    </w:p>
    <w:p>
      <w:pPr>
        <w:pStyle w:val="720"/>
        <w:pBdr/>
        <w:spacing/>
        <w:ind/>
        <w:jc w:val="both"/>
        <w:rPr>
          <w:color w:val="2f5496"/>
        </w:rPr>
      </w:pPr>
      <w:r>
        <w:rPr>
          <w:color w:val="2f5496"/>
        </w:rPr>
        <w:t xml:space="preserve">Catabolisme des acides gras (la </w:t>
      </w:r>
      <w:r>
        <w:rPr>
          <w:b/>
          <w:color w:val="2f5496"/>
        </w:rPr>
        <w:t xml:space="preserve">β-oxydation</w:t>
      </w:r>
      <w:r>
        <w:rPr>
          <w:color w:val="2f5496"/>
        </w:rPr>
        <w:t xml:space="preserve">)</w:t>
      </w:r>
      <w:r>
        <w:rPr>
          <w:color w:val="2f5496"/>
        </w:rPr>
      </w:r>
    </w:p>
    <w:p>
      <w:pPr>
        <w:pBdr/>
        <w:spacing/>
        <w:ind/>
        <w:jc w:val="both"/>
        <w:rPr/>
      </w:pPr>
      <w:r/>
      <w:bookmarkStart w:id="0" w:name="_heading=h.gjdgxs"/>
      <w:r/>
      <w:bookmarkEnd w:id="0"/>
      <w:r>
        <w:tab/>
        <w:t xml:space="preserve">Se déroule dans la matrice mitochondriale par la </w:t>
      </w:r>
      <w:r>
        <w:rPr>
          <w:b/>
        </w:rPr>
        <w:t xml:space="preserve">β-oxydation</w:t>
      </w:r>
      <w:r>
        <w:t xml:space="preserve">.</w:t>
      </w: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column">
                  <wp:posOffset>-634</wp:posOffset>
                </wp:positionH>
                <wp:positionV relativeFrom="paragraph">
                  <wp:posOffset>319405</wp:posOffset>
                </wp:positionV>
                <wp:extent cx="2390775" cy="2743200"/>
                <wp:effectExtent l="0" t="0" r="0" b="0"/>
                <wp:wrapSquare wrapText="bothSides"/>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r/>
                      </pic:nvPicPr>
                      <pic:blipFill>
                        <a:blip r:embed="rId13"/>
                        <a:stretch/>
                      </pic:blipFill>
                      <pic:spPr bwMode="auto">
                        <a:xfrm>
                          <a:off x="0" y="0"/>
                          <a:ext cx="2390775" cy="274320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text;margin-left:-0.05pt;mso-position-horizontal:absolute;mso-position-vertical-relative:text;margin-top:25.15pt;mso-position-vertical:absolute;width:188.25pt;height:216.00pt;mso-wrap-distance-left:9.00pt;mso-wrap-distance-top:0.00pt;mso-wrap-distance-right:9.00pt;mso-wrap-distance-bottom:0.00pt;z-index:1;">
                <w10:wrap type="square"/>
                <v:imagedata r:id="rId13" o:title=""/>
                <o:lock v:ext="edit" rotation="t"/>
              </v:shape>
            </w:pict>
          </mc:Fallback>
        </mc:AlternateContent>
      </w:r>
      <w:r/>
    </w:p>
    <w:p>
      <w:pPr>
        <w:pBdr/>
        <w:spacing/>
        <w:ind/>
        <w:jc w:val="both"/>
        <w:rPr/>
      </w:pPr>
      <w:r>
        <w:t xml:space="preserve">On consomme 2 ATP pour activer l’Acide Gras en </w:t>
      </w:r>
      <w:r>
        <w:rPr>
          <w:b/>
          <w:i/>
          <w:color w:val="c55911"/>
          <w:sz w:val="20"/>
          <w:szCs w:val="20"/>
        </w:rPr>
        <w:t xml:space="preserve">AcylCoA</w:t>
      </w:r>
      <w:r>
        <w:t xml:space="preserve">.</w:t>
      </w:r>
      <w:r/>
    </w:p>
    <w:p>
      <w:pPr>
        <w:pBdr/>
        <w:spacing/>
        <w:ind/>
        <w:jc w:val="both"/>
        <w:rPr>
          <w:vertAlign w:val="subscript"/>
        </w:rPr>
      </w:pPr>
      <w:r>
        <w:t xml:space="preserve">On retire 2 C à la fois pour former de </w:t>
      </w:r>
      <w:r>
        <w:rPr>
          <w:b/>
          <w:i/>
          <w:color w:val="c55911"/>
          <w:sz w:val="20"/>
          <w:szCs w:val="20"/>
        </w:rPr>
        <w:t xml:space="preserve">l’acétyl-CoA</w:t>
      </w:r>
      <w:r>
        <w:t xml:space="preserve"> </w:t>
      </w:r>
      <w:r>
        <w:rPr>
          <w:i/>
          <w:color w:val="7f7f7f"/>
        </w:rPr>
        <w:t xml:space="preserve">(ACoA) </w:t>
      </w:r>
      <w:r>
        <w:t xml:space="preserve">à chaque étape ainsi que 1 NADH et 1 FADH</w:t>
      </w:r>
      <w:r>
        <w:rPr>
          <w:vertAlign w:val="subscript"/>
        </w:rPr>
        <w:t xml:space="preserve">2</w:t>
      </w:r>
      <w:r>
        <w:rPr>
          <w:vertAlign w:val="subscript"/>
        </w:rPr>
      </w:r>
    </w:p>
    <w:p>
      <w:pPr>
        <w:pBdr/>
        <w:spacing/>
        <w:ind/>
        <w:jc w:val="both"/>
        <w:rPr/>
      </w:pPr>
      <w:r>
        <w:t xml:space="preserve">Chaque ACoA entre dans le cycle de Krebs dans la matrice mitochondriales, et chaque co-enzyme activée dans les phosphorylations oxydatives dans les crêtes mitochondriales.</w:t>
      </w:r>
      <w:r/>
    </w:p>
    <w:p>
      <w:pPr>
        <w:pBdr/>
        <w:spacing/>
        <w:ind/>
        <w:jc w:val="both"/>
        <w:rPr>
          <w:color w:val="70ad47"/>
        </w:rPr>
      </w:pPr>
      <w:r>
        <w:t xml:space="preserve">On a </w:t>
      </w:r>
      <w:r>
        <w:rPr>
          <w:color w:val="70ad47"/>
        </w:rPr>
        <w:t xml:space="preserve">8,5C-7 = 8,5*16-7 = 129ATP</w:t>
      </w:r>
      <w:r>
        <w:rPr>
          <w:color w:val="70ad47"/>
        </w:rPr>
        <w:t xml:space="preserve"> (acide palmitiqu</w:t>
      </w:r>
      <w:r>
        <w:rPr>
          <w:color w:val="70ad47"/>
        </w:rPr>
        <w:t xml:space="preserve">e)</w:t>
      </w:r>
      <w:r>
        <w:rPr>
          <w:color w:val="70ad47"/>
        </w:rPr>
      </w:r>
    </w:p>
    <w:p>
      <w:pPr>
        <w:pBdr/>
        <w:spacing/>
        <w:ind/>
        <w:jc w:val="both"/>
        <w:rPr>
          <w:color w:val="70ad47"/>
        </w:rPr>
      </w:pPr>
      <w:r>
        <w:t xml:space="preserve">Soit 5 ATP par nombre de cycle-1, 12 par cycle, et -2 pour l’activation.</w:t>
      </w:r>
      <w:r>
        <w:rPr>
          <w:color w:val="70ad47"/>
        </w:rPr>
      </w:r>
    </w:p>
    <w:p>
      <w:pPr>
        <w:pStyle w:val="720"/>
        <w:pBdr/>
        <w:spacing/>
        <w:ind/>
        <w:jc w:val="both"/>
        <w:rPr>
          <w:color w:val="2f5496"/>
        </w:rPr>
      </w:pPr>
      <w:r>
        <w:rPr>
          <w:color w:val="2f5496"/>
        </w:rPr>
        <w:t xml:space="preserve">Anabolisme des acides gras</w:t>
      </w:r>
      <w:r>
        <w:rPr>
          <w:color w:val="2f5496"/>
        </w:rPr>
      </w:r>
    </w:p>
    <w:p>
      <w:pPr>
        <w:pBdr/>
        <w:spacing/>
        <w:ind w:firstLine="708"/>
        <w:jc w:val="both"/>
        <w:rPr>
          <w:b/>
        </w:rPr>
      </w:pPr>
      <w:r>
        <w:t xml:space="preserve">ACoA + ACoA Donne un chaînon de 4 atomes de carbones, ce processus se répète et constitue une chaîne au rythme de 2 atomes de carbones à chaque fois. C’est un processus qui </w:t>
      </w:r>
      <w:r>
        <w:rPr>
          <w:b/>
          <w:color w:val="c00000"/>
        </w:rPr>
        <w:t xml:space="preserve">consomme de l’énergie</w:t>
      </w:r>
      <w:r>
        <w:t xml:space="preserve">, et se situe dans le </w:t>
      </w:r>
      <w:r>
        <w:rPr>
          <w:b/>
        </w:rPr>
        <w:t xml:space="preserve">foie.</w:t>
      </w:r>
      <w:r>
        <w:rPr>
          <w:b/>
        </w:rPr>
      </w:r>
    </w:p>
    <w:p>
      <w:pPr>
        <w:pStyle w:val="718"/>
        <w:pBdr/>
        <w:spacing/>
        <w:ind/>
        <w:jc w:val="both"/>
        <w:rPr/>
      </w:pPr>
      <w:r>
        <w:t xml:space="preserve">Métabolisme des protéines</w:t>
      </w:r>
      <w:r/>
    </w:p>
    <w:p>
      <w:pPr>
        <w:pStyle w:val="720"/>
        <w:pBdr/>
        <w:spacing/>
        <w:ind/>
        <w:jc w:val="both"/>
        <w:rPr>
          <w:color w:val="2f5496"/>
        </w:rPr>
      </w:pPr>
      <w:r>
        <w:rPr>
          <w:color w:val="2f5496"/>
        </w:rPr>
        <w:t xml:space="preserve">Catabolisme des protéines</w:t>
      </w:r>
      <w:r>
        <w:rPr>
          <w:color w:val="2f5496"/>
        </w:rPr>
      </w:r>
    </w:p>
    <w:p>
      <w:pPr>
        <w:pBdr/>
        <w:spacing/>
        <w:ind w:firstLine="708"/>
        <w:jc w:val="both"/>
        <w:rPr/>
      </w:pPr>
      <w:r>
        <w:t xml:space="preserve">Par </w:t>
      </w:r>
      <w:r>
        <w:rPr>
          <w:b/>
          <w:i/>
          <w:color w:val="c55911"/>
          <w:sz w:val="20"/>
          <w:szCs w:val="20"/>
        </w:rPr>
        <w:t xml:space="preserve">protéase</w:t>
      </w:r>
      <w:r>
        <w:t xml:space="preserve">, les liaisons peptidiques peuvent être coupées. On peut alors avoir des acides aminés qui peuvent être catabolisés pour fournir de l’énergie, ou servir à la synthèse d’autres molécules.</w:t>
      </w:r>
      <w:r/>
    </w:p>
    <w:p>
      <w:pPr>
        <w:pBdr/>
        <w:spacing/>
        <w:ind w:firstLine="708"/>
        <w:jc w:val="both"/>
        <w:rPr/>
      </w:pPr>
      <w:r>
        <w:t xml:space="preserve">Le catabolisme des protéines comprend l’extraction de l’atome d’azote et son élimination sous la forme d’urée dans le foie, et l’élimination des atomes de carbone, d’hydrogène et d’oxygène sous forme de CO2 et d’eau dans le cycle de Krebs</w:t>
      </w:r>
      <w:r>
        <w:t xml:space="preserve"> (à différents endroits en fonction des aa)</w:t>
      </w:r>
      <w:r/>
    </w:p>
    <w:p>
      <w:pPr>
        <w:pStyle w:val="720"/>
        <w:pBdr/>
        <w:spacing/>
        <w:ind/>
        <w:jc w:val="both"/>
        <w:rPr>
          <w:color w:val="2f5496"/>
        </w:rPr>
      </w:pPr>
      <w:r>
        <w:rPr>
          <w:color w:val="2f5496"/>
        </w:rPr>
        <w:t xml:space="preserve">Synthèse des protéines</w:t>
      </w:r>
      <w:r>
        <w:rPr>
          <w:color w:val="2f5496"/>
        </w:rPr>
      </w:r>
    </w:p>
    <w:p>
      <w:pPr>
        <w:pBdr/>
        <w:spacing/>
        <w:ind/>
        <w:jc w:val="both"/>
        <w:rPr/>
      </w:pPr>
      <w:r>
        <w:tab/>
        <w:t xml:space="preserve">Par transcription de l’ADN en ARNm</w:t>
      </w:r>
      <w:r>
        <w:t xml:space="preserve"> par l’ARN polymérase</w:t>
      </w:r>
      <w:r>
        <w:t xml:space="preserve"> et par traduction de l’ARNm en chaîne d’acide aminés dans les </w:t>
      </w:r>
      <w:r>
        <w:rPr>
          <w:i/>
          <w:color w:val="c55911"/>
          <w:sz w:val="20"/>
          <w:szCs w:val="20"/>
        </w:rPr>
        <w:t xml:space="preserve">ribosomes</w:t>
      </w:r>
      <w:r>
        <w:t xml:space="preserve"> on obtient les protéines.</w:t>
      </w:r>
      <w:r/>
    </w:p>
    <w:p>
      <w:pPr>
        <w:pStyle w:val="718"/>
        <w:pBdr/>
        <w:spacing/>
        <w:ind/>
        <w:jc w:val="both"/>
        <w:rPr/>
      </w:pPr>
      <w:r>
        <w:t xml:space="preserve">Le cycle de Krebs</w:t>
      </w:r>
      <w:r/>
    </w:p>
    <w:p>
      <w:pPr>
        <w:pBdr/>
        <w:spacing/>
        <w:ind/>
        <w:jc w:val="both"/>
        <w:rPr>
          <w:b/>
        </w:rPr>
      </w:pPr>
      <w:r>
        <w:t xml:space="preserve">Il se déroule dans la </w:t>
      </w:r>
      <w:r>
        <w:rPr>
          <w:b/>
        </w:rPr>
        <w:t xml:space="preserve">matrice mitochondriale.</w:t>
      </w:r>
      <w:r>
        <w:rPr>
          <w:b/>
        </w:rPr>
      </w:r>
    </w:p>
    <w:p>
      <w:pPr>
        <w:pBdr>
          <w:top w:val="none" w:color="000000" w:sz="4" w:space="0"/>
          <w:left w:val="none" w:color="000000" w:sz="4" w:space="0"/>
          <w:bottom w:val="none" w:color="000000" w:sz="4" w:space="0"/>
          <w:right w:val="none" w:color="000000" w:sz="4" w:space="0"/>
          <w:between w:val="none" w:color="000000" w:sz="4" w:space="0"/>
        </w:pBdr>
        <w:spacing w:after="240"/>
        <w:ind w:right="936" w:left="936"/>
        <w:jc w:val="both"/>
        <w:rPr>
          <w:smallCaps/>
          <w:color w:val="c55911"/>
          <w:sz w:val="28"/>
          <w:szCs w:val="28"/>
        </w:rPr>
      </w:pPr>
      <w:r>
        <w:rPr>
          <w:smallCaps/>
          <w:color w:val="c55911"/>
          <w:sz w:val="28"/>
          <w:szCs w:val="28"/>
        </w:rPr>
        <w:t xml:space="preserve">2 Pyruvates → 2 ACoA → 2 ATP + 6 NADH</w:t>
      </w:r>
      <w:r>
        <w:rPr>
          <w:smallCaps/>
          <w:color w:val="c55911"/>
          <w:sz w:val="28"/>
          <w:szCs w:val="28"/>
          <w:vertAlign w:val="subscript"/>
        </w:rPr>
        <w:t xml:space="preserve">2 </w:t>
      </w:r>
      <w:r>
        <w:rPr>
          <w:smallCaps/>
          <w:color w:val="c55911"/>
          <w:sz w:val="28"/>
          <w:szCs w:val="28"/>
        </w:rPr>
        <w:t xml:space="preserve">+ 2 FADH</w:t>
      </w:r>
      <w:r>
        <w:rPr>
          <w:smallCaps/>
          <w:color w:val="c55911"/>
          <w:sz w:val="28"/>
          <w:szCs w:val="28"/>
          <w:vertAlign w:val="subscript"/>
        </w:rPr>
        <w:t xml:space="preserve">2</w:t>
      </w:r>
      <w:r>
        <w:rPr>
          <w:smallCaps/>
          <w:color w:val="c55911"/>
          <w:sz w:val="28"/>
          <w:szCs w:val="28"/>
        </w:rPr>
      </w:r>
    </w:p>
    <w:p>
      <w:pPr>
        <w:pBdr/>
        <w:spacing/>
        <w:ind/>
        <w:jc w:val="both"/>
        <w:rPr/>
      </w:pPr>
      <w:r>
        <w:t xml:space="preserve">L’ACoA peut résulter du </w:t>
      </w:r>
      <w:r>
        <w:rPr>
          <w:b/>
        </w:rPr>
        <w:t xml:space="preserve">pyruvate</w:t>
      </w:r>
      <w:r>
        <w:t xml:space="preserve">, des </w:t>
      </w:r>
      <w:r>
        <w:rPr>
          <w:b/>
        </w:rPr>
        <w:t xml:space="preserve">acides gras</w:t>
      </w:r>
      <w:r>
        <w:t xml:space="preserve"> ou de certains a</w:t>
      </w:r>
      <w:r>
        <w:rPr>
          <w:b/>
        </w:rPr>
        <w:t xml:space="preserve">cides aminés</w:t>
      </w:r>
      <w:r>
        <w:t xml:space="preserve">.</w:t>
      </w:r>
      <w:r/>
    </w:p>
    <w:p>
      <w:pPr>
        <w:pBdr/>
        <w:spacing/>
        <w:ind/>
        <w:jc w:val="both"/>
        <w:rPr/>
      </w:pPr>
      <w:r>
        <w:t xml:space="preserve">Il est composé de 8 étapes dont </w:t>
      </w:r>
      <w:r>
        <w:rPr>
          <w:b/>
        </w:rPr>
        <w:t xml:space="preserve">4 réactions d’oxydation </w:t>
      </w:r>
      <w:r>
        <w:t xml:space="preserve">qui produisent </w:t>
      </w:r>
      <w:r>
        <w:rPr>
          <w:b/>
        </w:rPr>
        <w:t xml:space="preserve">4 coenzymes réduits</w:t>
      </w:r>
      <w:r>
        <w:t xml:space="preserve"> </w:t>
      </w:r>
      <w:r>
        <w:rPr>
          <w:color w:val="70ad47"/>
        </w:rPr>
        <w:t xml:space="preserve">(</w:t>
      </w:r>
      <w:r>
        <w:rPr>
          <w:i/>
          <w:color w:val="70ad47"/>
        </w:rPr>
        <w:t xml:space="preserve">3 NADH</w:t>
      </w:r>
      <w:r>
        <w:rPr>
          <w:i/>
          <w:color w:val="70ad47"/>
          <w:vertAlign w:val="subscript"/>
        </w:rPr>
        <w:t xml:space="preserve">2</w:t>
      </w:r>
      <w:r>
        <w:rPr>
          <w:i/>
          <w:color w:val="70ad47"/>
        </w:rPr>
        <w:t xml:space="preserve"> + FADH</w:t>
      </w:r>
      <w:r>
        <w:rPr>
          <w:i/>
          <w:color w:val="70ad47"/>
          <w:vertAlign w:val="subscript"/>
        </w:rPr>
        <w:t xml:space="preserve">2</w:t>
      </w:r>
      <w:r>
        <w:rPr>
          <w:i/>
          <w:color w:val="70ad47"/>
        </w:rPr>
        <w:t xml:space="preserve">)</w:t>
      </w:r>
      <w:r>
        <w:t xml:space="preserve">, un ATP est aussi produit.</w:t>
      </w:r>
      <w:r/>
    </w:p>
    <w:p>
      <w:pPr>
        <w:pBdr/>
        <w:spacing/>
        <w:ind/>
        <w:jc w:val="both"/>
        <w:rPr/>
      </w:pPr>
      <w:r>
        <mc:AlternateContent>
          <mc:Choice Requires="wpg">
            <w:drawing>
              <wp:inline xmlns:wp="http://schemas.openxmlformats.org/drawingml/2006/wordprocessingDrawing" distT="0" distB="0" distL="0" distR="0">
                <wp:extent cx="3583318" cy="2526334"/>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ic:nvPr/>
                      </pic:nvPicPr>
                      <pic:blipFill>
                        <a:blip r:embed="rId14"/>
                        <a:stretch/>
                      </pic:blipFill>
                      <pic:spPr bwMode="auto">
                        <a:xfrm>
                          <a:off x="0" y="0"/>
                          <a:ext cx="3583318" cy="2526334"/>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282.15pt;height:198.92pt;mso-wrap-distance-left:0.00pt;mso-wrap-distance-top:0.00pt;mso-wrap-distance-right:0.00pt;mso-wrap-distance-bottom:0.00pt;z-index:1;">
                <v:imagedata r:id="rId14" o:title=""/>
                <o:lock v:ext="edit" rotation="t"/>
              </v:shape>
            </w:pict>
          </mc:Fallback>
        </mc:AlternateContent>
      </w:r>
      <w:r/>
    </w:p>
    <w:p>
      <w:pPr>
        <w:pStyle w:val="718"/>
        <w:pBdr/>
        <w:spacing/>
        <w:ind/>
        <w:jc w:val="both"/>
        <w:rPr/>
      </w:pPr>
      <w:r>
        <w:t xml:space="preserve">Les phosphorylations oxydatives</w:t>
      </w:r>
      <w:r/>
    </w:p>
    <w:p>
      <w:pPr>
        <w:pBdr/>
        <w:spacing/>
        <w:ind/>
        <w:jc w:val="both"/>
        <w:rPr/>
      </w:pPr>
      <w:r>
        <w:t xml:space="preserve">Elles se déroulent dans les </w:t>
      </w:r>
      <w:r>
        <w:rPr>
          <w:i/>
          <w:color w:val="c55911"/>
          <w:sz w:val="20"/>
          <w:szCs w:val="20"/>
        </w:rPr>
        <w:t xml:space="preserve">crêtes mitochondriales</w:t>
      </w:r>
      <w:r>
        <w:t xml:space="preserve">, et nécessitent de l’oxygène pour se réaliser.</w:t>
      </w:r>
      <w:r/>
    </w:p>
    <w:p>
      <w:pPr>
        <w:pBdr/>
        <w:spacing/>
        <w:ind/>
        <w:jc w:val="both"/>
        <w:rPr/>
      </w:pPr>
      <w:r>
        <w:t xml:space="preserve">Les atomes d’hydrogène des Coenzymes réduits sont séparés en électrons et protons.</w:t>
      </w:r>
      <w:r/>
    </w:p>
    <w:p>
      <w:pPr>
        <w:pStyle w:val="719"/>
        <w:pBdr/>
        <w:spacing/>
        <w:ind/>
        <w:jc w:val="both"/>
        <w:rPr/>
      </w:pPr>
      <w:r>
        <w:t xml:space="preserve">Le devenir des électrons</w:t>
      </w:r>
      <w:r/>
    </w:p>
    <w:p>
      <w:pPr>
        <w:pBdr/>
        <w:spacing/>
        <w:ind/>
        <w:jc w:val="both"/>
        <w:rPr/>
      </w:pPr>
      <w:r>
        <w:t xml:space="preserve">Le transport des électrons est localisé au niveau de la membrane mitochondriale interne. Ils se déplacent d’un des 3 complexes à un autre et cèdent </w:t>
      </w:r>
      <w:r>
        <w:rPr>
          <w:b/>
          <w:i/>
          <w:color w:val="c55911"/>
          <w:sz w:val="20"/>
          <w:szCs w:val="20"/>
        </w:rPr>
        <w:t xml:space="preserve">une petite quantité d’énergie </w:t>
      </w:r>
      <w:r>
        <w:rPr>
          <w:i/>
          <w:color w:val="c55911"/>
          <w:sz w:val="20"/>
          <w:szCs w:val="20"/>
        </w:rPr>
        <w:t xml:space="preserve">(équivalent de 0,5 ATP) </w:t>
      </w:r>
      <w:r>
        <w:t xml:space="preserve">qui sert à </w:t>
      </w:r>
      <w:r>
        <w:rPr>
          <w:b/>
        </w:rPr>
        <w:t xml:space="preserve">activer</w:t>
      </w:r>
      <w:r>
        <w:t xml:space="preserve"> ces complexes.</w:t>
      </w:r>
      <w:r/>
    </w:p>
    <w:p>
      <w:pPr>
        <w:pBdr/>
        <w:spacing/>
        <w:ind/>
        <w:jc w:val="both"/>
        <w:rPr/>
      </w:pPr>
      <w:r>
        <w:t xml:space="preserve">Le 1</w:t>
      </w:r>
      <w:r>
        <w:rPr>
          <w:vertAlign w:val="superscript"/>
        </w:rPr>
        <w:t xml:space="preserve">er</w:t>
      </w:r>
      <w:r>
        <w:t xml:space="preserve"> complexe </w:t>
      </w:r>
      <w:r>
        <w:rPr>
          <w:b/>
        </w:rPr>
        <w:t xml:space="preserve">oxyde les NADH</w:t>
      </w:r>
      <w:r>
        <w:rPr>
          <w:b/>
          <w:vertAlign w:val="subscript"/>
        </w:rPr>
        <w:t xml:space="preserve">2 </w:t>
      </w:r>
      <w:r>
        <w:rPr>
          <w:b/>
        </w:rPr>
        <w:t xml:space="preserve">en NAD</w:t>
      </w:r>
      <w:r>
        <w:t xml:space="preserve">, le 2</w:t>
      </w:r>
      <w:r>
        <w:rPr>
          <w:vertAlign w:val="superscript"/>
        </w:rPr>
        <w:t xml:space="preserve">e</w:t>
      </w:r>
      <w:r>
        <w:t xml:space="preserve"> </w:t>
      </w:r>
      <w:r>
        <w:rPr>
          <w:b/>
        </w:rPr>
        <w:t xml:space="preserve">oxyde les FADH</w:t>
      </w:r>
      <w:r>
        <w:rPr>
          <w:b/>
          <w:vertAlign w:val="subscript"/>
        </w:rPr>
        <w:t xml:space="preserve">2</w:t>
      </w:r>
      <w:r>
        <w:rPr>
          <w:b/>
        </w:rPr>
        <w:t xml:space="preserve"> en FAD</w:t>
      </w:r>
      <w:r>
        <w:t xml:space="preserve">.</w:t>
      </w:r>
      <w:r/>
    </w:p>
    <w:p>
      <w:pPr>
        <w:pBdr/>
        <w:spacing/>
        <w:ind/>
        <w:jc w:val="both"/>
        <w:rPr/>
      </w:pPr>
      <w:r>
        <w:t xml:space="preserve">Le 3</w:t>
      </w:r>
      <w:r>
        <w:rPr>
          <w:vertAlign w:val="superscript"/>
        </w:rPr>
        <w:t xml:space="preserve">e</w:t>
      </w:r>
      <w:r>
        <w:t xml:space="preserve"> complexe permet de transférer </w:t>
      </w:r>
      <w:r>
        <w:rPr>
          <w:i/>
          <w:color w:val="c55911"/>
          <w:sz w:val="20"/>
          <w:szCs w:val="20"/>
        </w:rPr>
        <w:t xml:space="preserve">l’oxygène</w:t>
      </w:r>
      <w:r>
        <w:t xml:space="preserve"> de la molécule qui s’associe à des protons pour donner de </w:t>
      </w:r>
      <w:r>
        <w:rPr>
          <w:i/>
          <w:color w:val="c55911"/>
          <w:sz w:val="20"/>
          <w:szCs w:val="20"/>
        </w:rPr>
        <w:t xml:space="preserve">l’eau</w:t>
      </w:r>
      <w:r>
        <w:t xml:space="preserve">.</w:t>
      </w:r>
      <w:r/>
    </w:p>
    <w:p>
      <w:pPr>
        <w:pStyle w:val="719"/>
        <w:pBdr/>
        <w:spacing/>
        <w:ind/>
        <w:jc w:val="both"/>
        <w:rPr/>
      </w:pPr>
      <w:r>
        <w:t xml:space="preserve">Devenir des protons</w:t>
      </w:r>
      <w:r/>
    </w:p>
    <w:p>
      <w:pPr>
        <w:pBdr/>
        <w:spacing/>
        <w:ind/>
        <w:jc w:val="both"/>
        <w:rPr/>
      </w:pPr>
      <w:r>
        <w:t xml:space="preserve">L’énergie libéré aux complexes par les électrons permet le transfert des protons de la matrice mitochondriale vers l’espace intermembranaire.</w:t>
      </w:r>
      <w:r/>
    </w:p>
    <w:p>
      <w:pPr>
        <w:pBdr/>
        <w:spacing/>
        <w:ind/>
        <w:jc w:val="both"/>
        <w:rPr/>
      </w:pPr>
      <w:r>
        <w:t xml:space="preserve">On a alors une concentration en protons importante dans l’espace intermembranaire, ce qui crée un </w:t>
      </w:r>
      <w:r>
        <w:rPr>
          <w:b/>
        </w:rPr>
        <w:t xml:space="preserve">gradient électrochimique</w:t>
      </w:r>
      <w:r>
        <w:t xml:space="preserve">.</w:t>
      </w:r>
      <w:r/>
    </w:p>
    <w:p>
      <w:pPr>
        <w:pBdr/>
        <w:spacing/>
        <w:ind/>
        <w:jc w:val="both"/>
        <w:rPr>
          <w:b/>
        </w:rPr>
      </w:pPr>
      <w:r>
        <w:t xml:space="preserve">Ils vont alors revenir dans la membrane interne via </w:t>
      </w:r>
      <w:r>
        <w:rPr>
          <w:b/>
        </w:rPr>
        <w:t xml:space="preserve">ATP Synthétase : on a alors</w:t>
      </w:r>
      <w:r>
        <w:rPr>
          <w:b/>
        </w:rPr>
      </w:r>
    </w:p>
    <w:p>
      <w:pPr>
        <w:pBdr>
          <w:top w:val="none" w:color="000000" w:sz="4" w:space="0"/>
          <w:left w:val="none" w:color="000000" w:sz="4" w:space="0"/>
          <w:bottom w:val="none" w:color="000000" w:sz="4" w:space="0"/>
          <w:right w:val="none" w:color="000000" w:sz="4" w:space="0"/>
          <w:between w:val="none" w:color="000000" w:sz="4" w:space="0"/>
        </w:pBdr>
        <w:spacing w:after="240"/>
        <w:ind w:right="936" w:left="936"/>
        <w:jc w:val="both"/>
        <w:rPr>
          <w:smallCaps/>
          <w:color w:val="c55911"/>
          <w:sz w:val="28"/>
          <w:szCs w:val="28"/>
        </w:rPr>
      </w:pPr>
      <w:r>
        <w:rPr>
          <w:smallCaps/>
          <w:color w:val="c55911"/>
          <w:sz w:val="28"/>
          <w:szCs w:val="28"/>
        </w:rPr>
        <w:t xml:space="preserve">ADP + Pi + Energie → ATP</w:t>
      </w:r>
      <w:r>
        <w:rPr>
          <w:smallCaps/>
          <w:color w:val="c55911"/>
          <w:sz w:val="28"/>
          <w:szCs w:val="28"/>
        </w:rPr>
      </w:r>
    </w:p>
    <w:p>
      <w:pPr>
        <w:pBdr/>
        <w:spacing/>
        <w:ind/>
        <w:jc w:val="both"/>
        <w:rPr>
          <w:vertAlign w:val="subscript"/>
        </w:rPr>
      </w:pPr>
      <w:r>
        <w:t xml:space="preserve">On synthétise 3 ATP pour 1 NADH</w:t>
      </w:r>
      <w:r>
        <w:rPr>
          <w:vertAlign w:val="subscript"/>
        </w:rPr>
        <w:t xml:space="preserve">2</w:t>
      </w:r>
      <w:r>
        <w:t xml:space="preserve"> et 2 ATP pour 1 FADH</w:t>
      </w:r>
      <w:r>
        <w:rPr>
          <w:vertAlign w:val="subscript"/>
        </w:rPr>
        <w:t xml:space="preserve">2</w:t>
      </w:r>
      <w:r>
        <w:rPr>
          <w:vertAlign w:val="subscript"/>
        </w:rPr>
      </w:r>
    </w:p>
    <w:p>
      <w:pPr>
        <w:pBdr/>
        <w:spacing/>
        <w:ind/>
        <w:jc w:val="both"/>
        <w:rPr>
          <w:vertAlign w:val="subscript"/>
        </w:rPr>
      </w:pPr>
      <w:r>
        <w:rPr>
          <w:vertAlign w:val="subscript"/>
        </w:rPr>
        <mc:AlternateContent>
          <mc:Choice Requires="wpg">
            <w:drawing>
              <wp:inline xmlns:wp="http://schemas.openxmlformats.org/drawingml/2006/wordprocessingDrawing" distT="0" distB="0" distL="0" distR="0">
                <wp:extent cx="5611008" cy="2867425"/>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ic:nvPr/>
                      </pic:nvPicPr>
                      <pic:blipFill>
                        <a:blip r:embed="rId15"/>
                        <a:stretch/>
                      </pic:blipFill>
                      <pic:spPr bwMode="auto">
                        <a:xfrm>
                          <a:off x="0" y="0"/>
                          <a:ext cx="5611008" cy="286742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41.81pt;height:225.78pt;mso-wrap-distance-left:0.00pt;mso-wrap-distance-top:0.00pt;mso-wrap-distance-right:0.00pt;mso-wrap-distance-bottom:0.00pt;z-index:1;">
                <v:imagedata r:id="rId15" o:title=""/>
                <o:lock v:ext="edit" rotation="t"/>
              </v:shape>
            </w:pict>
          </mc:Fallback>
        </mc:AlternateContent>
      </w:r>
      <w:r>
        <w:rPr>
          <w:vertAlign w:val="subscript"/>
        </w:rPr>
      </w:r>
    </w:p>
    <w:p>
      <w:pPr>
        <w:pBdr/>
        <w:spacing/>
        <w:ind/>
        <w:jc w:val="both"/>
        <w:rPr/>
      </w:pPr>
      <w:r/>
      <w:r/>
    </w:p>
    <w:p>
      <w:pPr>
        <w:pStyle w:val="717"/>
        <w:pBdr/>
        <w:spacing/>
        <w:ind/>
        <w:jc w:val="both"/>
        <w:rPr/>
      </w:pPr>
      <w:r>
        <w:t xml:space="preserve">Bioénergétique : production d’ATP par les voies métaboliques</w:t>
      </w:r>
      <w:r/>
    </w:p>
    <w:p>
      <w:pPr>
        <w:pStyle w:val="718"/>
        <w:pBdr/>
        <w:spacing/>
        <w:ind/>
        <w:jc w:val="both"/>
        <w:rPr>
          <w:highlight w:val="none"/>
        </w:rPr>
      </w:pPr>
      <w:r>
        <w:rPr>
          <w:highlight w:val="none"/>
        </w:rPr>
        <w:t xml:space="preserve">Système ATP-PCr (anaérobie alactique)</w:t>
      </w:r>
      <w:r>
        <w:rPr>
          <w:highlight w:val="none"/>
        </w:rPr>
      </w:r>
    </w:p>
    <w:p>
      <w:pPr>
        <w:pBdr/>
        <w:spacing w:line="240" w:lineRule="auto"/>
        <w:ind/>
        <w:jc w:val="both"/>
        <w:rPr/>
      </w:pPr>
      <w:r>
        <w:t xml:space="preserve">Cette filière utilise l’ATP déjà en réserve dans le muscle, et la phosphocréatine.</w:t>
      </w:r>
      <w:r/>
    </w:p>
    <w:p>
      <w:pPr>
        <w:pBdr/>
        <w:spacing w:after="0" w:line="240" w:lineRule="auto"/>
        <w:ind/>
        <w:jc w:val="center"/>
        <w:rPr>
          <w:b/>
          <w:sz w:val="28"/>
          <w:szCs w:val="28"/>
        </w:rPr>
      </w:pPr>
      <w:r/>
      <m:oMath>
        <m:r>
          <w:rPr>
            <w:rFonts w:ascii="Cambria Math" w:hAnsi="Cambria Math" w:eastAsia="Cambria Math" w:cs="Cambria Math"/>
            <w:sz w:val="28"/>
            <w:szCs w:val="28"/>
          </w:rPr>
          <m:rPr/>
          <m:t>ADP+PCr</m:t>
        </m:r>
        <m:box>
          <m:boxPr>
            <m:aln m:val="off"/>
            <m:diff m:val="off"/>
            <m:noBreak m:val="off"/>
            <m:opEmu m:val="on"/>
            <m:ctrlPr>
              <w:rPr>
                <w:rFonts w:ascii="Cambria Math" w:hAnsi="Cambria Math" w:eastAsia="Cambria Math" w:cs="Cambria Math"/>
                <w:i/>
                <w:sz w:val="28"/>
                <w:szCs w:val="28"/>
              </w:rPr>
            </m:ctrlPr>
          </m:boxPr>
          <m:e>
            <m:groupChr>
              <m:groupChrPr>
                <m:chr m:val="→"/>
                <m:pos m:val="bot"/>
                <m:vertJc m:val="bot"/>
                <m:ctrlPr>
                  <w:rPr>
                    <w:rFonts w:ascii="Cambria Math" w:hAnsi="Cambria Math" w:eastAsia="Cambria Math" w:cs="Cambria Math"/>
                    <w:i/>
                    <w:sz w:val="28"/>
                    <w:szCs w:val="28"/>
                  </w:rPr>
                </m:ctrlPr>
              </m:groupChrPr>
              <m:e>
                <m:r>
                  <w:rPr>
                    <w:rFonts w:ascii="Cambria Math" w:hAnsi="Cambria Math" w:eastAsia="Cambria Math" w:cs="Cambria Math"/>
                    <w:sz w:val="28"/>
                    <w:szCs w:val="28"/>
                  </w:rPr>
                  <m:rPr/>
                  <m:t>Phosphorylcréatine kinase</m:t>
                </m:r>
              </m:e>
            </m:groupChr>
          </m:e>
        </m:box>
        <m:r>
          <w:rPr>
            <w:rFonts w:ascii="Cambria Math" w:hAnsi="Cambria Math"/>
          </w:rPr>
          <m:rPr/>
          <m:t>  </m:t>
        </m:r>
        <m:r>
          <w:rPr>
            <w:rFonts w:ascii="Cambria Math" w:hAnsi="Cambria Math" w:eastAsia="Cambria Math" w:cs="Cambria Math"/>
            <w:sz w:val="28"/>
            <w:szCs w:val="28"/>
          </w:rPr>
          <m:rPr/>
          <m:t> ATP+Cr</m:t>
        </m:r>
      </m:oMath>
      <w:r>
        <w:rPr>
          <w:b/>
          <w:sz w:val="28"/>
          <w:szCs w:val="28"/>
        </w:rPr>
        <w:t xml:space="preserve"> </w:t>
      </w:r>
      <w:r>
        <w:rPr>
          <w:b/>
          <w:sz w:val="28"/>
          <w:szCs w:val="28"/>
        </w:rPr>
      </w:r>
    </w:p>
    <w:p>
      <w:pPr>
        <w:pBdr/>
        <w:spacing w:after="0" w:line="240" w:lineRule="auto"/>
        <w:ind/>
        <w:jc w:val="both"/>
        <w:rPr>
          <w:color w:val="c55911"/>
        </w:rPr>
      </w:pPr>
      <w:r>
        <w:rPr>
          <w:color w:val="c55911"/>
        </w:rPr>
      </w:r>
      <w:r>
        <w:rPr>
          <w:color w:val="c55911"/>
        </w:rPr>
      </w:r>
    </w:p>
    <w:p>
      <w:pPr>
        <w:pBdr/>
        <w:spacing w:line="240" w:lineRule="auto"/>
        <w:ind w:firstLine="708"/>
        <w:jc w:val="both"/>
        <w:rPr/>
      </w:pPr>
      <w:r>
        <w:t xml:space="preserve">La phosphocréatine est stockée dans le muscle, de 80 à 150 mmol.kg</w:t>
      </w:r>
      <w:r>
        <w:rPr>
          <w:vertAlign w:val="superscript"/>
        </w:rPr>
        <w:t xml:space="preserve">-1</w:t>
      </w:r>
      <w:r>
        <w:t xml:space="preserve"> poids sec de muscle. C’est plus important que la réserve d’ATP mais beaucoup plus faible que les réserves de glucides ou lipides.</w:t>
      </w:r>
      <w:r/>
    </w:p>
    <w:p>
      <w:pPr>
        <w:pBdr/>
        <w:spacing w:line="240" w:lineRule="auto"/>
        <w:ind/>
        <w:jc w:val="both"/>
        <w:rPr>
          <w:i/>
          <w:color w:val="7b7b7b"/>
        </w:rPr>
      </w:pPr>
      <w:r>
        <w:rPr>
          <w:b/>
        </w:rPr>
        <w:t xml:space="preserve">Phosphagène</w:t>
      </w:r>
      <w:r>
        <w:t xml:space="preserve"> = contient un groupement phosphate </w:t>
      </w:r>
      <w:r>
        <w:rPr>
          <w:i/>
          <w:color w:val="7b7b7b"/>
        </w:rPr>
        <w:t xml:space="preserve">(ATP, PCr)</w:t>
      </w:r>
      <w:r>
        <w:rPr>
          <w:i/>
          <w:color w:val="7b7b7b"/>
        </w:rPr>
      </w:r>
    </w:p>
    <w:p>
      <w:pPr>
        <w:pBdr/>
        <w:spacing w:line="240" w:lineRule="auto"/>
        <w:ind/>
        <w:jc w:val="both"/>
        <w:rPr/>
      </w:pPr>
      <w:r>
        <w:t xml:space="preserve">Plusieurs isomères de la </w:t>
      </w:r>
      <w:r>
        <w:t xml:space="preserve">PCKinase</w:t>
      </w:r>
      <w:r>
        <w:t xml:space="preserve"> : MM dans le muscle, MB dans le cœur et BB dan</w:t>
      </w:r>
      <w:r>
        <w:t xml:space="preserve">s</w:t>
      </w:r>
      <w:r>
        <w:t xml:space="preserve"> le cerveau.</w:t>
      </w:r>
      <w:r/>
    </w:p>
    <w:p>
      <w:pPr>
        <w:pBdr/>
        <w:spacing w:line="240" w:lineRule="auto"/>
        <w:ind/>
        <w:jc w:val="both"/>
        <w:rPr/>
      </w:pPr>
      <w:r>
        <w:t xml:space="preserve">Réaction se fait ou dans l’espace intermembranaire de la mitochondrie (</w:t>
      </w:r>
      <w:r>
        <w:t xml:space="preserve">PCKm</w:t>
      </w:r>
      <w:r>
        <w:t xml:space="preserve">) ou dans le cytosol (</w:t>
      </w:r>
      <w:r>
        <w:t xml:space="preserve">PCKc</w:t>
      </w:r>
      <w:r>
        <w:t xml:space="preserve">)</w:t>
      </w:r>
      <w:r/>
    </w:p>
    <w:p>
      <w:pPr>
        <w:pBdr/>
        <w:spacing w:line="240" w:lineRule="auto"/>
        <w:ind/>
        <w:jc w:val="both"/>
        <w:rPr/>
      </w:pPr>
      <w:r>
        <w:t xml:space="preserve">Synthèse de la créatine se fait à partir de 3 aa, débute dans le rein et libérée dans le tissu musculaire.</w:t>
      </w:r>
      <w:r/>
    </w:p>
    <w:p>
      <w:pPr>
        <w:pBdr/>
        <w:spacing w:line="240" w:lineRule="auto"/>
        <w:ind/>
        <w:jc w:val="both"/>
        <w:rPr/>
      </w:pPr>
      <w:r>
        <w:t xml:space="preserve">Concentration basale environ 3 fois supérieur à celle de l’ATP.</w:t>
      </w:r>
      <w:r/>
    </w:p>
    <w:p>
      <w:pPr>
        <w:pBdr/>
        <w:spacing w:line="240" w:lineRule="auto"/>
        <w:ind/>
        <w:jc w:val="both"/>
        <w:rPr/>
      </w:pPr>
      <w:r>
        <w:t xml:space="preserve">PC/C réaction réversible qui permet de </w:t>
      </w:r>
      <w:r>
        <w:t xml:space="preserve">t</w:t>
      </w:r>
      <w:r>
        <w:t xml:space="preserve">amponner la concentration de l’ATP</w:t>
      </w:r>
      <w:r>
        <w:t xml:space="preserve"> </w:t>
      </w:r>
      <w:r/>
    </w:p>
    <w:p>
      <w:pPr>
        <w:pBdr/>
        <w:spacing w:line="240" w:lineRule="auto"/>
        <w:ind/>
        <w:jc w:val="both"/>
        <w:rPr/>
      </w:pPr>
      <w:r>
        <w:t xml:space="preserve">L’essentiel de l’ATP provient des réactions de la glycolyse et des </w:t>
      </w:r>
      <w:r>
        <w:t xml:space="preserve">oxydations</w:t>
      </w:r>
      <w:r>
        <w:t xml:space="preserve"> mitochondriales, même pour les exercices de courte durée (10s à 2Min)</w:t>
      </w:r>
      <w:r/>
    </w:p>
    <w:p>
      <w:pPr>
        <w:pStyle w:val="720"/>
        <w:pBdr/>
        <w:spacing/>
        <w:ind/>
        <w:rPr/>
      </w:pPr>
      <w:r>
        <w:t xml:space="preserve">Resynthèse de la PC </w:t>
      </w:r>
      <w:r/>
    </w:p>
    <w:p>
      <w:pPr>
        <w:pBdr/>
        <w:spacing/>
        <w:ind/>
        <w:rPr/>
      </w:pPr>
      <w:r>
        <w:t xml:space="preserve">Constant</w:t>
      </w:r>
      <w:r>
        <w:t xml:space="preserve">e de temps de ½ de resynthèse de 40s, soit une réplétion majeure en 5 à 6min.</w:t>
      </w:r>
      <w:r>
        <w:t xml:space="preserve"> Fonctionnement des mitochondries indispensable.</w:t>
      </w:r>
      <w:r/>
    </w:p>
    <w:p>
      <w:pPr>
        <w:pStyle w:val="719"/>
        <w:pBdr/>
        <w:spacing/>
        <w:ind/>
        <w:rPr/>
      </w:pPr>
      <w:r>
        <w:t xml:space="preserve">Adénylate kinase ou </w:t>
      </w:r>
      <w:r>
        <w:t xml:space="preserve">Myokinase</w:t>
      </w:r>
      <w:r/>
    </w:p>
    <w:p>
      <w:pPr>
        <w:pBdr/>
        <w:spacing/>
        <w:ind/>
        <w:rPr/>
      </w:pPr>
      <w:r/>
      <m:oMathPara>
        <m:oMathParaPr/>
        <m:oMath>
          <m:r>
            <w:rPr>
              <w:rFonts w:ascii="Cambria Math" w:hAnsi="Cambria Math"/>
            </w:rPr>
            <m:rPr/>
            <m:t>2ADP</m:t>
          </m:r>
          <m:r>
            <w:rPr>
              <w:rFonts w:ascii="Cambria Math" w:hAnsi="Cambria Math"/>
            </w:rPr>
            <m:rPr>
              <m:sty m:val="p"/>
            </m:rPr>
            <m:t>→</m:t>
          </m:r>
          <m:r>
            <w:rPr>
              <w:rFonts w:ascii="Cambria Math" w:hAnsi="Cambria Math"/>
            </w:rPr>
            <m:rPr/>
            <m:t>ATP+AMP</m:t>
          </m:r>
        </m:oMath>
      </m:oMathPara>
      <w:r/>
      <w:r/>
    </w:p>
    <w:p>
      <w:pPr>
        <w:pBdr/>
        <w:spacing/>
        <w:ind/>
        <w:rPr/>
      </w:pPr>
      <w:r/>
      <w:r/>
    </w:p>
    <w:p>
      <w:pPr>
        <w:pBdr/>
        <w:spacing w:line="240" w:lineRule="auto"/>
        <w:ind/>
        <w:jc w:val="both"/>
        <w:rPr/>
      </w:pPr>
      <w:r>
        <w:rPr>
          <w:b/>
          <w:color w:val="2f5496"/>
        </w:rPr>
        <w:t xml:space="preserve">Avantages</w:t>
      </w:r>
      <w:r/>
    </w:p>
    <w:p>
      <w:pPr>
        <w:numPr>
          <w:ilvl w:val="0"/>
          <w:numId w:val="4"/>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pPr>
      <w:r>
        <w:rPr>
          <w:color w:val="000000"/>
        </w:rPr>
        <w:t xml:space="preserve">Immédiatement disponible</w:t>
      </w:r>
      <w:r/>
    </w:p>
    <w:p>
      <w:pPr>
        <w:numPr>
          <w:ilvl w:val="0"/>
          <w:numId w:val="4"/>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pPr>
      <w:r>
        <w:rPr>
          <w:color w:val="000000"/>
        </w:rPr>
        <w:t xml:space="preserve">Puissance d’effort considérable</w:t>
      </w:r>
      <w:r/>
    </w:p>
    <w:p>
      <w:pPr>
        <w:numPr>
          <w:ilvl w:val="0"/>
          <w:numId w:val="4"/>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pPr>
      <w:r>
        <w:rPr>
          <w:color w:val="000000"/>
        </w:rPr>
        <w:t xml:space="preserve">Ne nécessite pas d’oxygène</w:t>
      </w:r>
      <w:r/>
    </w:p>
    <w:p>
      <w:pPr>
        <w:numPr>
          <w:ilvl w:val="0"/>
          <w:numId w:val="4"/>
        </w:numPr>
        <w:pBdr>
          <w:top w:val="none" w:color="000000" w:sz="4" w:space="0"/>
          <w:left w:val="none" w:color="000000" w:sz="4" w:space="0"/>
          <w:bottom w:val="none" w:color="000000" w:sz="4" w:space="0"/>
          <w:right w:val="none" w:color="000000" w:sz="4" w:space="0"/>
          <w:between w:val="none" w:color="000000" w:sz="4" w:space="0"/>
        </w:pBdr>
        <w:spacing w:line="240" w:lineRule="auto"/>
        <w:ind/>
        <w:jc w:val="both"/>
        <w:rPr/>
      </w:pPr>
      <w:r>
        <w:rPr>
          <w:color w:val="000000"/>
        </w:rPr>
        <w:t xml:space="preserve">Ne produit pas d’acide lactique, donc pas d’acidification</w:t>
      </w:r>
      <w:r/>
    </w:p>
    <w:p>
      <w:p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color w:val="000000"/>
        </w:rPr>
      </w:pPr>
      <w:r>
        <w:rPr>
          <w:b/>
          <w:color w:val="2f5496"/>
        </w:rPr>
        <w:t xml:space="preserve">Inconvénient</w:t>
      </w:r>
      <w:r>
        <w:rPr>
          <w:color w:val="000000"/>
        </w:rPr>
      </w:r>
    </w:p>
    <w:p>
      <w:pPr>
        <w:numPr>
          <w:ilvl w:val="0"/>
          <w:numId w:val="6"/>
        </w:numPr>
        <w:pBdr>
          <w:top w:val="none" w:color="000000" w:sz="4" w:space="0"/>
          <w:left w:val="none" w:color="000000" w:sz="4" w:space="0"/>
          <w:bottom w:val="none" w:color="000000" w:sz="4" w:space="0"/>
          <w:right w:val="none" w:color="000000" w:sz="4" w:space="0"/>
          <w:between w:val="none" w:color="000000" w:sz="4" w:space="0"/>
        </w:pBdr>
        <w:spacing w:line="240" w:lineRule="auto"/>
        <w:ind/>
        <w:jc w:val="both"/>
        <w:rPr/>
      </w:pPr>
      <w:r>
        <w:rPr>
          <w:color w:val="000000"/>
        </w:rPr>
        <w:t xml:space="preserve">Capacité faible : effort court</w:t>
      </w:r>
      <w:r/>
    </w:p>
    <w:p>
      <w:pPr>
        <w:pBdr/>
        <w:spacing w:line="240" w:lineRule="auto"/>
        <w:ind/>
        <w:jc w:val="both"/>
        <w:rPr>
          <w:i/>
          <w:color w:val="7b7b7b"/>
        </w:rPr>
      </w:pPr>
      <w:r>
        <w:rPr>
          <w:i/>
          <w:color w:val="7b7b7b"/>
        </w:rPr>
      </w:r>
      <w:r>
        <w:rPr>
          <w:i/>
          <w:color w:val="7b7b7b"/>
        </w:rPr>
      </w:r>
    </w:p>
    <w:p>
      <w:pPr>
        <w:pStyle w:val="718"/>
        <w:pBdr/>
        <w:spacing/>
        <w:ind/>
        <w:jc w:val="both"/>
        <w:rPr/>
      </w:pPr>
      <w:r>
        <w:t xml:space="preserve">Système glycolytique (Anaérobie lactique)</w:t>
      </w:r>
      <w:r/>
    </w:p>
    <w:p>
      <w:pPr>
        <w:pBdr/>
        <w:spacing w:line="240" w:lineRule="auto"/>
        <w:ind w:firstLine="708"/>
        <w:jc w:val="both"/>
        <w:rPr>
          <w:i/>
          <w:color w:val="7b7b7b"/>
        </w:rPr>
      </w:pPr>
      <w:r>
        <w:t xml:space="preserve">Elle repose sur l’utilisation du glycogène </w:t>
      </w:r>
      <w:r>
        <w:rPr>
          <w:i/>
          <w:color w:val="7b7b7b"/>
        </w:rPr>
        <w:t xml:space="preserve">(Muscle, Foie = 250 mmol.kg</w:t>
      </w:r>
      <w:r>
        <w:rPr>
          <w:i/>
          <w:color w:val="7b7b7b"/>
          <w:vertAlign w:val="superscript"/>
        </w:rPr>
        <w:t xml:space="preserve">-1</w:t>
      </w:r>
      <w:r>
        <w:rPr>
          <w:i/>
          <w:color w:val="7b7b7b"/>
        </w:rPr>
        <w:t xml:space="preserve">)</w:t>
      </w:r>
      <w:r>
        <w:t xml:space="preserve"> et du glucose </w:t>
      </w:r>
      <w:r>
        <w:rPr>
          <w:i/>
          <w:color w:val="7b7b7b"/>
        </w:rPr>
        <w:t xml:space="preserve">(apport du milieu sanguin). </w:t>
      </w:r>
      <w:r>
        <w:t xml:space="preserve">Elle utilise la </w:t>
      </w:r>
      <w:r>
        <w:rPr>
          <w:b/>
        </w:rPr>
        <w:t xml:space="preserve">glycogénolyse</w:t>
      </w:r>
      <w:r>
        <w:t xml:space="preserve"> et la </w:t>
      </w:r>
      <w:r>
        <w:rPr>
          <w:b/>
        </w:rPr>
        <w:t xml:space="preserve">glycolyse</w:t>
      </w:r>
      <w:r>
        <w:t xml:space="preserve">. </w:t>
      </w:r>
      <w:r>
        <w:rPr>
          <w:i/>
          <w:color w:val="7b7b7b"/>
        </w:rPr>
        <w:t xml:space="preserve">(Qui se rejoignent au niveau du G-6-P)</w:t>
      </w:r>
      <w:r>
        <w:rPr>
          <w:i/>
          <w:color w:val="7b7b7b"/>
        </w:rPr>
      </w:r>
    </w:p>
    <w:p>
      <w:pPr>
        <w:pBdr/>
        <w:spacing w:line="240" w:lineRule="auto"/>
        <w:ind w:firstLine="708"/>
        <w:jc w:val="both"/>
        <w:rPr/>
      </w:pPr>
      <w:r>
        <w:t xml:space="preserve">La glycolyse et la glycogénolyse créent de l’acide lactique qui se transforme en </w:t>
      </w:r>
      <w:r>
        <w:rPr>
          <w:b/>
        </w:rPr>
        <w:t xml:space="preserve">Lactate + H</w:t>
      </w:r>
      <w:r>
        <w:rPr>
          <w:b/>
          <w:vertAlign w:val="superscript"/>
        </w:rPr>
        <w:t xml:space="preserve">+</w:t>
      </w:r>
      <w:r>
        <w:rPr>
          <w:vertAlign w:val="superscript"/>
        </w:rPr>
        <w:t xml:space="preserve"> </w:t>
      </w:r>
      <w:r>
        <w:t xml:space="preserve">qui rejoignent le compartiment sanguin. Ces protons sont responsables d’une </w:t>
      </w:r>
      <w:r>
        <w:rPr>
          <w:b/>
        </w:rPr>
        <w:t xml:space="preserve">acidose. </w:t>
      </w:r>
      <w:r>
        <w:rPr>
          <w:i/>
          <w:color w:val="7b7b7b"/>
        </w:rPr>
        <w:t xml:space="preserve">(Diminution du Ph et arrêt de la contraction)</w:t>
      </w:r>
      <w:r>
        <w:rPr>
          <w:color w:val="7b7b7b"/>
        </w:rPr>
        <w:t xml:space="preserve">,</w:t>
      </w:r>
      <w:r>
        <w:t xml:space="preserve"> même si le système qui produit le plus de protons et l’hydrolyse de l’ATP.</w:t>
      </w:r>
      <w:r/>
    </w:p>
    <w:p>
      <w:pPr>
        <w:numPr>
          <w:ilvl w:val="0"/>
          <w:numId w:val="2"/>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pPr>
      <w:r>
        <w:rPr>
          <w:color w:val="000000"/>
        </w:rPr>
        <w:t xml:space="preserve">Facteur limitant le lactate qui acidifie et inhibe le fonctionnement enzymatique et diminue la capacité des fibres à libérer le calcium</w:t>
      </w:r>
      <w:r/>
    </w:p>
    <w:p>
      <w:pPr>
        <w:numPr>
          <w:ilvl w:val="0"/>
          <w:numId w:val="2"/>
        </w:numPr>
        <w:pBdr>
          <w:top w:val="none" w:color="000000" w:sz="4" w:space="0"/>
          <w:left w:val="none" w:color="000000" w:sz="4" w:space="0"/>
          <w:bottom w:val="none" w:color="000000" w:sz="4" w:space="0"/>
          <w:right w:val="none" w:color="000000" w:sz="4" w:space="0"/>
          <w:between w:val="none" w:color="000000" w:sz="4" w:space="0"/>
        </w:pBdr>
        <w:spacing w:line="240" w:lineRule="auto"/>
        <w:ind/>
        <w:jc w:val="both"/>
        <w:rPr/>
      </w:pPr>
      <w:r>
        <w:rPr>
          <w:color w:val="000000"/>
        </w:rPr>
        <w:t xml:space="preserve">Enzyme clé : </w:t>
      </w:r>
      <w:r>
        <w:rPr>
          <w:b/>
          <w:i/>
          <w:color w:val="c55911"/>
          <w:sz w:val="20"/>
          <w:szCs w:val="20"/>
        </w:rPr>
        <w:t xml:space="preserve">phosphofructokinase</w:t>
      </w:r>
      <w:r>
        <w:rPr>
          <w:color w:val="000000"/>
        </w:rPr>
        <w:t xml:space="preserve"> </w:t>
      </w:r>
      <w:r/>
    </w:p>
    <w:p>
      <w:pPr>
        <w:pBdr/>
        <w:spacing w:line="240" w:lineRule="auto"/>
        <w:ind/>
        <w:jc w:val="both"/>
        <w:rPr>
          <w:b/>
        </w:rPr>
      </w:pPr>
      <w:r>
        <w:rPr>
          <w:b/>
        </w:rPr>
        <w:t xml:space="preserve">Glucose/Glycogène + 2 NAD</w:t>
      </w:r>
      <w:r>
        <w:rPr>
          <w:b/>
          <w:vertAlign w:val="superscript"/>
        </w:rPr>
        <w:t xml:space="preserve">+</w:t>
      </w:r>
      <w:r>
        <w:rPr>
          <w:b/>
        </w:rPr>
        <w:t xml:space="preserve"> → 2 acides pyruviques + 2 NADH</w:t>
      </w:r>
      <w:r>
        <w:rPr>
          <w:b/>
          <w:vertAlign w:val="subscript"/>
        </w:rPr>
        <w:t xml:space="preserve">2</w:t>
      </w:r>
      <w:r>
        <w:rPr>
          <w:b/>
        </w:rPr>
        <w:t xml:space="preserve"> + 2/3 ATP</w:t>
      </w:r>
      <w:r>
        <w:rPr>
          <w:b/>
        </w:rPr>
      </w:r>
    </w:p>
    <w:p>
      <w:pPr>
        <w:pBdr/>
        <w:spacing w:line="240" w:lineRule="auto"/>
        <w:ind/>
        <w:jc w:val="both"/>
        <w:rPr/>
      </w:pPr>
      <w:r>
        <w:rPr>
          <w:b/>
          <w:color w:val="2f5496"/>
        </w:rPr>
        <w:t xml:space="preserve">Avantages</w:t>
      </w:r>
      <w:r/>
    </w:p>
    <w:p>
      <w:pPr>
        <w:numPr>
          <w:ilvl w:val="0"/>
          <w:numId w:val="6"/>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pPr>
      <w:r>
        <w:rPr>
          <w:color w:val="000000"/>
        </w:rPr>
        <w:t xml:space="preserve">Inertie faible</w:t>
      </w:r>
      <w:r/>
    </w:p>
    <w:p>
      <w:pPr>
        <w:numPr>
          <w:ilvl w:val="0"/>
          <w:numId w:val="6"/>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pPr>
      <w:r>
        <w:rPr>
          <w:color w:val="000000"/>
        </w:rPr>
        <w:t xml:space="preserve">Ne nécessite pas d’oxygène</w:t>
      </w:r>
      <w:r/>
    </w:p>
    <w:p>
      <w:pPr>
        <w:numPr>
          <w:ilvl w:val="0"/>
          <w:numId w:val="6"/>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pPr>
      <w:r>
        <w:rPr>
          <w:color w:val="000000"/>
        </w:rPr>
        <w:t xml:space="preserve">Puissance élevée</w:t>
      </w:r>
      <w:r/>
    </w:p>
    <w:p>
      <w:pPr>
        <w:numPr>
          <w:ilvl w:val="0"/>
          <w:numId w:val="6"/>
        </w:numPr>
        <w:pBdr>
          <w:top w:val="none" w:color="000000" w:sz="4" w:space="0"/>
          <w:left w:val="none" w:color="000000" w:sz="4" w:space="0"/>
          <w:bottom w:val="none" w:color="000000" w:sz="4" w:space="0"/>
          <w:right w:val="none" w:color="000000" w:sz="4" w:space="0"/>
          <w:between w:val="none" w:color="000000" w:sz="4" w:space="0"/>
        </w:pBdr>
        <w:spacing w:line="240" w:lineRule="auto"/>
        <w:ind/>
        <w:jc w:val="both"/>
        <w:rPr/>
      </w:pPr>
      <w:r>
        <w:rPr>
          <w:color w:val="000000"/>
        </w:rPr>
        <w:t xml:space="preserve">Capacité importante</w:t>
      </w:r>
      <w:r/>
    </w:p>
    <w:p>
      <w:pPr>
        <w:pBdr/>
        <w:spacing w:line="240" w:lineRule="auto"/>
        <w:ind/>
        <w:jc w:val="both"/>
        <w:rPr/>
      </w:pPr>
      <w:r>
        <w:rPr>
          <w:b/>
          <w:color w:val="2f5496"/>
        </w:rPr>
        <w:t xml:space="preserve">Inconvénients</w:t>
      </w:r>
      <w:r/>
    </w:p>
    <w:p>
      <w:pPr>
        <w:numPr>
          <w:ilvl w:val="0"/>
          <w:numId w:val="8"/>
        </w:numPr>
        <w:pBdr>
          <w:top w:val="none" w:color="000000" w:sz="4" w:space="0"/>
          <w:left w:val="none" w:color="000000" w:sz="4" w:space="0"/>
          <w:bottom w:val="none" w:color="000000" w:sz="4" w:space="0"/>
          <w:right w:val="none" w:color="000000" w:sz="4" w:space="0"/>
          <w:between w:val="none" w:color="000000" w:sz="4" w:space="0"/>
        </w:pBdr>
        <w:spacing w:line="240" w:lineRule="auto"/>
        <w:ind/>
        <w:jc w:val="both"/>
        <w:rPr/>
      </w:pPr>
      <w:r>
        <w:rPr>
          <w:color w:val="000000"/>
        </w:rPr>
        <w:t xml:space="preserve">Produit de l’acide lactique</w:t>
      </w:r>
      <w:r/>
    </w:p>
    <w:p>
      <w:pPr>
        <w:pStyle w:val="718"/>
        <w:pBdr/>
        <w:spacing/>
        <w:ind/>
        <w:jc w:val="both"/>
        <w:rPr/>
      </w:pPr>
      <w:r>
        <w:t xml:space="preserve">Système oxydatif (Aérobie)</w:t>
      </w:r>
      <w:r/>
    </w:p>
    <w:p>
      <w:pPr>
        <w:numPr>
          <w:ilvl w:val="0"/>
          <w:numId w:val="5"/>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pPr>
      <w:r>
        <w:rPr>
          <w:color w:val="000000"/>
        </w:rPr>
        <w:t xml:space="preserve">Dans la mitochondrie, excès d’oxygène néfaste</w:t>
      </w:r>
      <w:r/>
    </w:p>
    <w:p>
      <w:pPr>
        <w:numPr>
          <w:ilvl w:val="0"/>
          <w:numId w:val="5"/>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pPr>
      <w:r>
        <w:rPr>
          <w:color w:val="000000"/>
        </w:rPr>
        <w:t xml:space="preserve">Localisées en </w:t>
      </w:r>
      <w:r>
        <w:rPr>
          <w:i/>
          <w:color w:val="c55911"/>
          <w:sz w:val="20"/>
          <w:szCs w:val="20"/>
        </w:rPr>
        <w:t xml:space="preserve">périphérie</w:t>
      </w:r>
      <w:r>
        <w:rPr>
          <w:color w:val="000000"/>
        </w:rPr>
        <w:t xml:space="preserve"> et proche des capillaires</w:t>
      </w:r>
      <w:r/>
    </w:p>
    <w:p>
      <w:pPr>
        <w:numPr>
          <w:ilvl w:val="0"/>
          <w:numId w:val="5"/>
        </w:numPr>
        <w:pBdr>
          <w:top w:val="none" w:color="000000" w:sz="4" w:space="0"/>
          <w:left w:val="none" w:color="000000" w:sz="4" w:space="0"/>
          <w:bottom w:val="none" w:color="000000" w:sz="4" w:space="0"/>
          <w:right w:val="none" w:color="000000" w:sz="4" w:space="0"/>
          <w:between w:val="none" w:color="000000" w:sz="4" w:space="0"/>
        </w:pBdr>
        <w:spacing w:line="240" w:lineRule="auto"/>
        <w:ind/>
        <w:jc w:val="both"/>
        <w:rPr/>
      </w:pPr>
      <w:r>
        <w:rPr>
          <w:i/>
          <w:color w:val="c55911"/>
          <w:sz w:val="20"/>
          <w:szCs w:val="20"/>
        </w:rPr>
        <w:t xml:space="preserve">Cytochromes</w:t>
      </w:r>
      <w:r>
        <w:rPr>
          <w:color w:val="000000"/>
        </w:rPr>
        <w:t xml:space="preserve">, des protéines agissant comme de petits aimants transfèrent les électrons d’un complexe à un autre</w:t>
      </w:r>
      <w:r/>
    </w:p>
    <w:p>
      <w:pPr>
        <w:pStyle w:val="719"/>
        <w:pBdr/>
        <w:spacing/>
        <w:ind/>
        <w:jc w:val="both"/>
        <w:rPr/>
      </w:pPr>
      <w:r>
        <w:t xml:space="preserve">Oxydation des glucides</w:t>
      </w:r>
      <w:r/>
    </w:p>
    <w:p>
      <w:pPr>
        <w:pBdr/>
        <w:spacing w:line="240" w:lineRule="auto"/>
        <w:ind w:firstLine="708"/>
        <w:jc w:val="both"/>
        <w:rPr>
          <w:b/>
        </w:rPr>
      </w:pPr>
      <w:r>
        <w:t xml:space="preserve">Si le pyruvate ne se transforme pas en lactate, il peut rentrer dans la mitochondrie, se transformer en Acétyl-CoA et rentrer dans </w:t>
      </w:r>
      <w:r>
        <w:rPr>
          <w:b/>
        </w:rPr>
        <w:t xml:space="preserve">Krebs </w:t>
      </w:r>
      <w:r>
        <w:t xml:space="preserve">puis </w:t>
      </w:r>
      <w:r>
        <w:rPr>
          <w:b/>
        </w:rPr>
        <w:t xml:space="preserve">phosphorylations oxydatives</w:t>
      </w:r>
      <w:r>
        <w:t xml:space="preserve"> et donne </w:t>
      </w:r>
      <w:r>
        <w:rPr>
          <w:b/>
        </w:rPr>
        <w:t xml:space="preserve">30 à 36 ATP. (+ 2 ou 3).</w:t>
      </w:r>
      <w:r>
        <w:rPr>
          <w:b/>
        </w:rPr>
      </w:r>
    </w:p>
    <w:p>
      <w:pPr>
        <w:pBdr/>
        <w:spacing w:line="240" w:lineRule="auto"/>
        <w:ind w:firstLine="708"/>
        <w:jc w:val="both"/>
        <w:rPr>
          <w:b/>
        </w:rPr>
      </w:pPr>
      <w:r>
        <w:t xml:space="preserve">Ces valeurs sont cependant théoriques : en pratique, il existe des </w:t>
      </w:r>
      <w:r>
        <w:rPr>
          <w:i/>
          <w:color w:val="c55911"/>
          <w:sz w:val="20"/>
          <w:szCs w:val="20"/>
        </w:rPr>
        <w:t xml:space="preserve">pertes</w:t>
      </w:r>
      <w:r>
        <w:t xml:space="preserve"> dues à la </w:t>
      </w:r>
      <w:r>
        <w:rPr>
          <w:i/>
          <w:color w:val="c55911"/>
          <w:sz w:val="20"/>
          <w:szCs w:val="20"/>
        </w:rPr>
        <w:t xml:space="preserve">dissipation du gradient électrochimique par diffusion passive des protons à travers la membrane</w:t>
      </w:r>
      <w:r>
        <w:t xml:space="preserve">, ce qui abaisse le rendement effectif de la phosphorylation oxydative.</w:t>
      </w:r>
      <w:r>
        <w:rPr>
          <w:b/>
        </w:rPr>
      </w:r>
    </w:p>
    <w:p>
      <w:pPr>
        <w:pStyle w:val="719"/>
        <w:pBdr/>
        <w:spacing/>
        <w:ind/>
        <w:jc w:val="both"/>
        <w:rPr/>
      </w:pPr>
      <w:r>
        <w:t xml:space="preserve">Oxydation des Acides gras</w:t>
      </w:r>
      <w:r/>
    </w:p>
    <w:p>
      <w:pPr>
        <w:pBdr/>
        <w:spacing w:line="240" w:lineRule="auto"/>
        <w:ind/>
        <w:jc w:val="both"/>
        <w:rPr/>
      </w:pPr>
      <w:r>
        <w:t xml:space="preserve">Par lipolyse les Triglycérides sont scindés en AGL et Glycérol et vont dans le compartiment sanguin.</w:t>
      </w:r>
      <w:r/>
    </w:p>
    <w:p>
      <w:pPr>
        <w:pBdr/>
        <w:spacing w:line="240" w:lineRule="auto"/>
        <w:ind/>
        <w:jc w:val="both"/>
        <w:rPr>
          <w:b/>
        </w:rPr>
      </w:pPr>
      <w:r>
        <w:t xml:space="preserve">Les acides gras sont activés en AcylCoA et subissent la </w:t>
      </w:r>
      <w:r>
        <w:rPr>
          <w:b/>
        </w:rPr>
        <w:t xml:space="preserve">β-oxydation </w:t>
      </w:r>
      <w:r>
        <w:t xml:space="preserve">dans la </w:t>
      </w:r>
      <w:r>
        <w:rPr>
          <w:b/>
        </w:rPr>
        <w:t xml:space="preserve">matrice</w:t>
      </w:r>
      <w:r>
        <w:t xml:space="preserve"> mitochondriale et donne </w:t>
      </w:r>
      <w:r>
        <w:rPr>
          <w:b/>
        </w:rPr>
        <w:t xml:space="preserve">des Acétyl-CoA et des coenzymes réduites.</w:t>
      </w:r>
      <w:r>
        <w:rPr>
          <w:b/>
        </w:rPr>
      </w:r>
    </w:p>
    <w:p>
      <w:pPr>
        <w:pBdr/>
        <w:spacing w:line="240" w:lineRule="auto"/>
        <w:ind/>
        <w:jc w:val="both"/>
        <w:rPr>
          <w:color w:val="c55911"/>
        </w:rPr>
      </w:pPr>
      <w:r>
        <w:t xml:space="preserve">Ces acétyl-CoA entrent dans un cycle de </w:t>
      </w:r>
      <w:r>
        <w:rPr>
          <w:b/>
        </w:rPr>
        <w:t xml:space="preserve">Krebs </w:t>
      </w:r>
      <w:r>
        <w:t xml:space="preserve">chacun, puis </w:t>
      </w:r>
      <w:r>
        <w:rPr>
          <w:b/>
        </w:rPr>
        <w:t xml:space="preserve">phosphorylations oxydatives</w:t>
      </w:r>
      <w:r>
        <w:t xml:space="preserve"> et donnent en tout pour 1 AG plus de 100 ATP : </w:t>
      </w:r>
      <w:r>
        <w:rPr>
          <w:color w:val="c55911"/>
        </w:rPr>
        <w:t xml:space="preserve">8,5C – 7 ATP</w:t>
      </w:r>
      <w:r>
        <w:rPr>
          <w:color w:val="c55911"/>
        </w:rPr>
      </w:r>
    </w:p>
    <w:p>
      <w:pPr>
        <w:pBdr/>
        <w:spacing w:line="240" w:lineRule="auto"/>
        <w:ind/>
        <w:jc w:val="both"/>
        <w:rPr/>
      </w:pPr>
      <w:r>
        <w:t xml:space="preserve">2500 kcals pour les réserves de glycogènes, contre environ </w:t>
      </w:r>
      <w:r>
        <w:rPr>
          <w:b/>
          <w:i/>
          <w:color w:val="c55911"/>
          <w:sz w:val="20"/>
          <w:szCs w:val="20"/>
        </w:rPr>
        <w:t xml:space="preserve">70 000 à 75 000 kcal</w:t>
      </w:r>
      <w:r>
        <w:t xml:space="preserve"> pour les cellules adipeuses</w:t>
      </w:r>
      <w:r/>
    </w:p>
    <w:p>
      <w:pPr>
        <w:pStyle w:val="719"/>
        <w:pBdr/>
        <w:spacing/>
        <w:ind/>
        <w:jc w:val="both"/>
        <w:rPr/>
      </w:pPr>
      <w:r>
        <w:t xml:space="preserve">Oxydation des protéines</w:t>
      </w:r>
      <w:r/>
    </w:p>
    <w:p>
      <w:pPr>
        <w:numPr>
          <w:ilvl w:val="0"/>
          <w:numId w:val="9"/>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pPr>
      <w:r>
        <w:rPr>
          <w:color w:val="000000"/>
        </w:rPr>
        <w:t xml:space="preserve">Assez faible, dépend des acides aminés</w:t>
      </w:r>
      <w:r/>
    </w:p>
    <w:p>
      <w:pPr>
        <w:numPr>
          <w:ilvl w:val="0"/>
          <w:numId w:val="9"/>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pPr>
      <w:r>
        <w:rPr>
          <w:color w:val="000000"/>
        </w:rPr>
        <w:t xml:space="preserve">Souvent </w:t>
      </w:r>
      <w:r>
        <w:rPr>
          <w:i/>
          <w:color w:val="c55911"/>
          <w:sz w:val="20"/>
          <w:szCs w:val="20"/>
        </w:rPr>
        <w:t xml:space="preserve">moins de 5%</w:t>
      </w:r>
      <w:r>
        <w:rPr>
          <w:color w:val="000000"/>
        </w:rPr>
        <w:t xml:space="preserve"> de l’énergie totale dépensée</w:t>
      </w:r>
      <w:r/>
    </w:p>
    <w:p>
      <w:pPr>
        <w:numPr>
          <w:ilvl w:val="0"/>
          <w:numId w:val="9"/>
        </w:numPr>
        <w:pBdr>
          <w:top w:val="none" w:color="000000" w:sz="4" w:space="0"/>
          <w:left w:val="none" w:color="000000" w:sz="4" w:space="0"/>
          <w:bottom w:val="none" w:color="000000" w:sz="4" w:space="0"/>
          <w:right w:val="none" w:color="000000" w:sz="4" w:space="0"/>
          <w:between w:val="none" w:color="000000" w:sz="4" w:space="0"/>
        </w:pBdr>
        <w:spacing w:line="240" w:lineRule="auto"/>
        <w:ind/>
        <w:jc w:val="both"/>
        <w:rPr/>
      </w:pPr>
      <w:r>
        <w:rPr>
          <w:color w:val="000000"/>
        </w:rPr>
        <w:t xml:space="preserve">Pour mesurer il faut connaître la quantité d’azote éliminée par l’organisme : collecter les urines</w:t>
      </w:r>
      <w:r/>
    </w:p>
    <w:p>
      <w:pPr>
        <w:pBdr/>
        <w:spacing w:line="240" w:lineRule="auto"/>
        <w:ind/>
        <w:jc w:val="both"/>
        <w:rPr/>
      </w:pPr>
      <w:r>
        <w:rPr>
          <w:b/>
          <w:color w:val="2f5496"/>
        </w:rPr>
        <w:t xml:space="preserve">Avantages</w:t>
      </w:r>
      <w:r/>
    </w:p>
    <w:p>
      <w:pPr>
        <w:numPr>
          <w:ilvl w:val="0"/>
          <w:numId w:val="8"/>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pPr>
      <w:r>
        <w:rPr>
          <w:color w:val="000000"/>
        </w:rPr>
        <w:t xml:space="preserve">Capacité considérable </w:t>
      </w:r>
      <w:r>
        <w:rPr>
          <w:i/>
          <w:color w:val="767171"/>
        </w:rPr>
        <w:t xml:space="preserve">(théoriquement infini)</w:t>
      </w:r>
      <w:r/>
    </w:p>
    <w:p>
      <w:pPr>
        <w:numPr>
          <w:ilvl w:val="0"/>
          <w:numId w:val="8"/>
        </w:numPr>
        <w:pBdr>
          <w:top w:val="none" w:color="000000" w:sz="4" w:space="0"/>
          <w:left w:val="none" w:color="000000" w:sz="4" w:space="0"/>
          <w:bottom w:val="none" w:color="000000" w:sz="4" w:space="0"/>
          <w:right w:val="none" w:color="000000" w:sz="4" w:space="0"/>
          <w:between w:val="none" w:color="000000" w:sz="4" w:space="0"/>
        </w:pBdr>
        <w:spacing w:line="240" w:lineRule="auto"/>
        <w:ind/>
        <w:jc w:val="both"/>
        <w:rPr/>
      </w:pPr>
      <w:r>
        <w:rPr>
          <w:color w:val="000000"/>
        </w:rPr>
        <w:t xml:space="preserve">Ne produit pas d’acide lactique</w:t>
      </w:r>
      <w:r/>
    </w:p>
    <w:p>
      <w:pPr>
        <w:pBdr/>
        <w:spacing w:line="240" w:lineRule="auto"/>
        <w:ind/>
        <w:jc w:val="both"/>
        <w:rPr/>
      </w:pPr>
      <w:r>
        <w:rPr>
          <w:b/>
          <w:color w:val="2f5496"/>
        </w:rPr>
        <w:t xml:space="preserve">Inconvénients</w:t>
      </w:r>
      <w:r/>
    </w:p>
    <w:p>
      <w:pPr>
        <w:numPr>
          <w:ilvl w:val="0"/>
          <w:numId w:val="7"/>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pPr>
      <w:r>
        <w:rPr>
          <w:color w:val="000000"/>
        </w:rPr>
        <w:t xml:space="preserve">Plus grande inertie</w:t>
      </w:r>
      <w:r/>
    </w:p>
    <w:p>
      <w:pPr>
        <w:numPr>
          <w:ilvl w:val="0"/>
          <w:numId w:val="7"/>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pPr>
      <w:r>
        <w:rPr>
          <w:color w:val="000000"/>
        </w:rPr>
        <w:t xml:space="preserve">Puissance faible</w:t>
      </w:r>
      <w:r/>
    </w:p>
    <w:p>
      <w:pPr>
        <w:numPr>
          <w:ilvl w:val="0"/>
          <w:numId w:val="7"/>
        </w:numPr>
        <w:pBdr>
          <w:top w:val="none" w:color="000000" w:sz="4" w:space="0"/>
          <w:left w:val="none" w:color="000000" w:sz="4" w:space="0"/>
          <w:bottom w:val="none" w:color="000000" w:sz="4" w:space="0"/>
          <w:right w:val="none" w:color="000000" w:sz="4" w:space="0"/>
          <w:between w:val="none" w:color="000000" w:sz="4" w:space="0"/>
        </w:pBdr>
        <w:spacing w:line="240" w:lineRule="auto"/>
        <w:ind/>
        <w:jc w:val="both"/>
        <w:rPr/>
      </w:pPr>
      <w:r>
        <w:rPr>
          <w:color w:val="000000"/>
        </w:rPr>
        <w:t xml:space="preserve">Limitée par la VO</w:t>
      </w:r>
      <w:r>
        <w:rPr>
          <w:color w:val="000000"/>
          <w:vertAlign w:val="subscript"/>
        </w:rPr>
        <w:t xml:space="preserve">2</w:t>
      </w:r>
      <w:r>
        <w:rPr>
          <w:color w:val="000000"/>
        </w:rPr>
        <w:t xml:space="preserve"> max</w:t>
      </w:r>
      <w:r/>
    </w:p>
    <w:p>
      <w:pPr>
        <w:pStyle w:val="717"/>
        <w:pBdr/>
        <w:spacing/>
        <w:ind/>
        <w:jc w:val="both"/>
        <w:rPr/>
      </w:pPr>
      <w:r>
        <w:t xml:space="preserve">Interaction des trois systèmes énergétiques</w:t>
      </w:r>
      <w:r/>
    </w:p>
    <w:p>
      <w:pPr>
        <w:pBdr/>
        <w:spacing w:line="240" w:lineRule="auto"/>
        <w:ind/>
        <w:jc w:val="both"/>
        <w:rPr/>
      </w:pPr>
      <w:r>
        <w:t xml:space="preserve">Les 3 systèmes agissent toujours ensemble mais dans des proportions différentes</w:t>
      </w:r>
      <w:r/>
    </w:p>
    <w:tbl>
      <w:tblPr>
        <w:tblInd w:w="0" w:type="dxa"/>
        <w:tblW w:w="90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Style w:val="729"/>
      </w:tblPr>
      <w:tblGrid>
        <w:gridCol w:w="1502"/>
        <w:gridCol w:w="1332"/>
        <w:gridCol w:w="2125"/>
        <w:gridCol w:w="1275"/>
        <w:gridCol w:w="1522"/>
        <w:gridCol w:w="1316"/>
      </w:tblGrid>
      <w:tr>
        <w:trPr/>
        <w:tc>
          <w:tcPr>
            <w:tcBorders/>
            <w:tcW w:w="1502" w:type="dxa"/>
            <w:textDirection w:val="lrTb"/>
            <w:noWrap w:val="false"/>
          </w:tcPr>
          <w:p>
            <w:pPr>
              <w:pBdr/>
              <w:spacing/>
              <w:ind/>
              <w:jc w:val="both"/>
              <w:rPr/>
            </w:pPr>
            <w:r>
              <w:t xml:space="preserve">Système énergétique</w:t>
            </w:r>
            <w:r/>
          </w:p>
        </w:tc>
        <w:tc>
          <w:tcPr>
            <w:tcBorders/>
            <w:tcW w:w="1332" w:type="dxa"/>
            <w:textDirection w:val="lrTb"/>
            <w:noWrap w:val="false"/>
          </w:tcPr>
          <w:p>
            <w:pPr>
              <w:pBdr/>
              <w:spacing/>
              <w:ind/>
              <w:jc w:val="both"/>
              <w:rPr/>
            </w:pPr>
            <w:r>
              <w:t xml:space="preserve">Nécessité de l’oxygène</w:t>
            </w:r>
            <w:r/>
          </w:p>
        </w:tc>
        <w:tc>
          <w:tcPr>
            <w:tcBorders/>
            <w:tcW w:w="2125" w:type="dxa"/>
            <w:textDirection w:val="lrTb"/>
            <w:noWrap w:val="false"/>
          </w:tcPr>
          <w:p>
            <w:pPr>
              <w:pBdr/>
              <w:spacing/>
              <w:ind/>
              <w:jc w:val="both"/>
              <w:rPr/>
            </w:pPr>
            <w:r>
              <w:t xml:space="preserve">Réaction chimique globale</w:t>
            </w:r>
            <w:r/>
          </w:p>
        </w:tc>
        <w:tc>
          <w:tcPr>
            <w:tcBorders/>
            <w:tcW w:w="1275" w:type="dxa"/>
            <w:textDirection w:val="lrTb"/>
            <w:noWrap w:val="false"/>
          </w:tcPr>
          <w:p>
            <w:pPr>
              <w:pBdr/>
              <w:spacing/>
              <w:ind/>
              <w:jc w:val="both"/>
              <w:rPr/>
            </w:pPr>
            <w:r>
              <w:t xml:space="preserve">ATP formée par seconde</w:t>
            </w:r>
            <w:r/>
          </w:p>
        </w:tc>
        <w:tc>
          <w:tcPr>
            <w:tcBorders/>
            <w:tcW w:w="1522" w:type="dxa"/>
            <w:textDirection w:val="lrTb"/>
            <w:noWrap w:val="false"/>
          </w:tcPr>
          <w:p>
            <w:pPr>
              <w:pBdr/>
              <w:spacing/>
              <w:ind/>
              <w:jc w:val="both"/>
              <w:rPr/>
            </w:pPr>
            <w:r>
              <w:t xml:space="preserve">ATP formée par molécule de Substrat</w:t>
            </w:r>
            <w:r/>
          </w:p>
        </w:tc>
        <w:tc>
          <w:tcPr>
            <w:tcBorders/>
            <w:tcW w:w="1316" w:type="dxa"/>
            <w:textDirection w:val="lrTb"/>
            <w:noWrap w:val="false"/>
          </w:tcPr>
          <w:p>
            <w:pPr>
              <w:pBdr/>
              <w:spacing/>
              <w:ind/>
              <w:jc w:val="both"/>
              <w:rPr/>
            </w:pPr>
            <w:r>
              <w:t xml:space="preserve">Capacité disponible</w:t>
            </w:r>
            <w:r/>
          </w:p>
        </w:tc>
      </w:tr>
      <w:tr>
        <w:trPr/>
        <w:tc>
          <w:tcPr>
            <w:tcBorders/>
            <w:tcW w:w="1502" w:type="dxa"/>
            <w:textDirection w:val="lrTb"/>
            <w:noWrap w:val="false"/>
          </w:tcPr>
          <w:p>
            <w:pPr>
              <w:pBdr/>
              <w:spacing/>
              <w:ind/>
              <w:jc w:val="both"/>
              <w:rPr/>
            </w:pPr>
            <w:r>
              <w:t xml:space="preserve">ATP-PCr</w:t>
            </w:r>
            <w:r/>
          </w:p>
        </w:tc>
        <w:tc>
          <w:tcPr>
            <w:tcBorders/>
            <w:tcW w:w="1332" w:type="dxa"/>
            <w:textDirection w:val="lrTb"/>
            <w:noWrap w:val="false"/>
          </w:tcPr>
          <w:p>
            <w:pPr>
              <w:pBdr/>
              <w:spacing/>
              <w:ind/>
              <w:jc w:val="both"/>
              <w:rPr/>
            </w:pPr>
            <w:r>
              <w:t xml:space="preserve">Non</w:t>
            </w:r>
            <w:r/>
          </w:p>
        </w:tc>
        <w:tc>
          <w:tcPr>
            <w:tcBorders/>
            <w:tcW w:w="2125" w:type="dxa"/>
            <w:textDirection w:val="lrTb"/>
            <w:noWrap w:val="false"/>
          </w:tcPr>
          <w:p>
            <w:pPr>
              <w:pBdr/>
              <w:spacing/>
              <w:ind/>
              <w:jc w:val="both"/>
              <w:rPr/>
            </w:pPr>
            <w:r>
              <w:t xml:space="preserve">PCr en Cr</w:t>
            </w:r>
            <w:r/>
          </w:p>
        </w:tc>
        <w:tc>
          <w:tcPr>
            <w:tcBorders/>
            <w:tcW w:w="1275" w:type="dxa"/>
            <w:textDirection w:val="lrTb"/>
            <w:noWrap w:val="false"/>
          </w:tcPr>
          <w:p>
            <w:pPr>
              <w:pBdr/>
              <w:spacing/>
              <w:ind/>
              <w:jc w:val="both"/>
              <w:rPr/>
            </w:pPr>
            <w:r>
              <w:t xml:space="preserve">10</w:t>
            </w:r>
            <w:r/>
          </w:p>
        </w:tc>
        <w:tc>
          <w:tcPr>
            <w:tcBorders/>
            <w:tcW w:w="1522" w:type="dxa"/>
            <w:textDirection w:val="lrTb"/>
            <w:noWrap w:val="false"/>
          </w:tcPr>
          <w:p>
            <w:pPr>
              <w:pBdr/>
              <w:spacing/>
              <w:ind/>
              <w:jc w:val="both"/>
              <w:rPr/>
            </w:pPr>
            <w:r>
              <w:t xml:space="preserve">1</w:t>
            </w:r>
            <w:r/>
          </w:p>
        </w:tc>
        <w:tc>
          <w:tcPr>
            <w:tcBorders/>
            <w:tcW w:w="1316" w:type="dxa"/>
            <w:textDirection w:val="lrTb"/>
            <w:noWrap w:val="false"/>
          </w:tcPr>
          <w:p>
            <w:pPr>
              <w:pBdr/>
              <w:spacing/>
              <w:ind/>
              <w:jc w:val="both"/>
              <w:rPr/>
            </w:pPr>
            <w:r>
              <w:t xml:space="preserve">&lt; 15s</w:t>
            </w:r>
            <w:r/>
          </w:p>
        </w:tc>
      </w:tr>
      <w:tr>
        <w:trPr/>
        <w:tc>
          <w:tcPr>
            <w:tcBorders/>
            <w:tcW w:w="1502" w:type="dxa"/>
            <w:textDirection w:val="lrTb"/>
            <w:noWrap w:val="false"/>
          </w:tcPr>
          <w:p>
            <w:pPr>
              <w:pBdr/>
              <w:spacing/>
              <w:ind/>
              <w:jc w:val="both"/>
              <w:rPr/>
            </w:pPr>
            <w:r>
              <w:t xml:space="preserve">Glycolyse</w:t>
            </w:r>
            <w:r/>
          </w:p>
        </w:tc>
        <w:tc>
          <w:tcPr>
            <w:tcBorders/>
            <w:tcW w:w="1332" w:type="dxa"/>
            <w:textDirection w:val="lrTb"/>
            <w:noWrap w:val="false"/>
          </w:tcPr>
          <w:p>
            <w:pPr>
              <w:pBdr/>
              <w:spacing/>
              <w:ind/>
              <w:jc w:val="both"/>
              <w:rPr/>
            </w:pPr>
            <w:r>
              <w:t xml:space="preserve">Non</w:t>
            </w:r>
            <w:r/>
          </w:p>
        </w:tc>
        <w:tc>
          <w:tcPr>
            <w:tcBorders/>
            <w:tcW w:w="2125" w:type="dxa"/>
            <w:textDirection w:val="lrTb"/>
            <w:noWrap w:val="false"/>
          </w:tcPr>
          <w:p>
            <w:pPr>
              <w:pBdr/>
              <w:spacing/>
              <w:ind/>
              <w:jc w:val="both"/>
              <w:rPr/>
            </w:pPr>
            <w:r>
              <w:t xml:space="preserve">Glucose ou Glycogène en lactate</w:t>
            </w:r>
            <w:r/>
          </w:p>
        </w:tc>
        <w:tc>
          <w:tcPr>
            <w:tcBorders/>
            <w:tcW w:w="1275" w:type="dxa"/>
            <w:textDirection w:val="lrTb"/>
            <w:noWrap w:val="false"/>
          </w:tcPr>
          <w:p>
            <w:pPr>
              <w:pBdr/>
              <w:spacing/>
              <w:ind/>
              <w:jc w:val="both"/>
              <w:rPr/>
            </w:pPr>
            <w:r>
              <w:t xml:space="preserve">5</w:t>
            </w:r>
            <w:r/>
          </w:p>
        </w:tc>
        <w:tc>
          <w:tcPr>
            <w:tcBorders/>
            <w:tcW w:w="1522" w:type="dxa"/>
            <w:textDirection w:val="lrTb"/>
            <w:noWrap w:val="false"/>
          </w:tcPr>
          <w:p>
            <w:pPr>
              <w:pBdr/>
              <w:spacing/>
              <w:ind/>
              <w:jc w:val="both"/>
              <w:rPr/>
            </w:pPr>
            <w:r>
              <w:t xml:space="preserve">2-3</w:t>
            </w:r>
            <w:r/>
          </w:p>
        </w:tc>
        <w:tc>
          <w:tcPr>
            <w:tcBorders/>
            <w:tcW w:w="1316" w:type="dxa"/>
            <w:textDirection w:val="lrTb"/>
            <w:noWrap w:val="false"/>
          </w:tcPr>
          <w:p>
            <w:pPr>
              <w:pBdr/>
              <w:spacing/>
              <w:ind/>
              <w:jc w:val="both"/>
              <w:rPr/>
            </w:pPr>
            <w:r>
              <w:t xml:space="preserve">~1min</w:t>
            </w:r>
            <w:r/>
          </w:p>
        </w:tc>
      </w:tr>
      <w:tr>
        <w:trPr/>
        <w:tc>
          <w:tcPr>
            <w:tcBorders/>
            <w:tcW w:w="1502" w:type="dxa"/>
            <w:textDirection w:val="lrTb"/>
            <w:noWrap w:val="false"/>
          </w:tcPr>
          <w:p>
            <w:pPr>
              <w:pBdr/>
              <w:spacing/>
              <w:ind/>
              <w:jc w:val="both"/>
              <w:rPr/>
            </w:pPr>
            <w:r>
              <w:t xml:space="preserve">Voie aérobie (glucides)</w:t>
            </w:r>
            <w:r/>
          </w:p>
        </w:tc>
        <w:tc>
          <w:tcPr>
            <w:tcBorders/>
            <w:tcW w:w="1332" w:type="dxa"/>
            <w:textDirection w:val="lrTb"/>
            <w:noWrap w:val="false"/>
          </w:tcPr>
          <w:p>
            <w:pPr>
              <w:pBdr/>
              <w:spacing/>
              <w:ind/>
              <w:jc w:val="both"/>
              <w:rPr/>
            </w:pPr>
            <w:r>
              <w:t xml:space="preserve">Oui</w:t>
            </w:r>
            <w:r/>
          </w:p>
        </w:tc>
        <w:tc>
          <w:tcPr>
            <w:tcBorders/>
            <w:tcW w:w="2125" w:type="dxa"/>
            <w:textDirection w:val="lrTb"/>
            <w:noWrap w:val="false"/>
          </w:tcPr>
          <w:p>
            <w:pPr>
              <w:pBdr/>
              <w:spacing/>
              <w:ind/>
              <w:jc w:val="both"/>
              <w:rPr/>
            </w:pPr>
            <w:r>
              <w:t xml:space="preserve">Glucose ou glycogène en CO</w:t>
            </w:r>
            <w:r>
              <w:rPr>
                <w:vertAlign w:val="subscript"/>
              </w:rPr>
              <w:t xml:space="preserve">2 </w:t>
            </w:r>
            <w:r>
              <w:t xml:space="preserve">et H</w:t>
            </w:r>
            <w:r>
              <w:rPr>
                <w:vertAlign w:val="subscript"/>
              </w:rPr>
              <w:t xml:space="preserve">2</w:t>
            </w:r>
            <w:r>
              <w:t xml:space="preserve">O</w:t>
            </w:r>
            <w:r/>
          </w:p>
        </w:tc>
        <w:tc>
          <w:tcPr>
            <w:tcBorders/>
            <w:tcW w:w="1275" w:type="dxa"/>
            <w:textDirection w:val="lrTb"/>
            <w:noWrap w:val="false"/>
          </w:tcPr>
          <w:p>
            <w:pPr>
              <w:pBdr/>
              <w:spacing/>
              <w:ind/>
              <w:jc w:val="both"/>
              <w:rPr/>
            </w:pPr>
            <w:r>
              <w:t xml:space="preserve">2,5</w:t>
            </w:r>
            <w:r/>
          </w:p>
        </w:tc>
        <w:tc>
          <w:tcPr>
            <w:tcBorders/>
            <w:tcW w:w="1522" w:type="dxa"/>
            <w:textDirection w:val="lrTb"/>
            <w:noWrap w:val="false"/>
          </w:tcPr>
          <w:p>
            <w:pPr>
              <w:pBdr/>
              <w:spacing/>
              <w:ind/>
              <w:jc w:val="both"/>
              <w:rPr/>
            </w:pPr>
            <w:r>
              <w:t xml:space="preserve">(38-39) ou </w:t>
            </w:r>
            <w:r>
              <w:rPr>
                <w:b/>
                <w:i/>
                <w:color w:val="c55911"/>
                <w:sz w:val="20"/>
                <w:szCs w:val="20"/>
              </w:rPr>
              <w:t xml:space="preserve">32-33</w:t>
            </w:r>
            <w:r/>
          </w:p>
        </w:tc>
        <w:tc>
          <w:tcPr>
            <w:tcBorders/>
            <w:tcW w:w="1316" w:type="dxa"/>
            <w:textDirection w:val="lrTb"/>
            <w:noWrap w:val="false"/>
          </w:tcPr>
          <w:p>
            <w:pPr>
              <w:pBdr/>
              <w:spacing/>
              <w:ind/>
              <w:jc w:val="both"/>
              <w:rPr/>
            </w:pPr>
            <w:r>
              <w:t xml:space="preserve">~90min</w:t>
            </w:r>
            <w:r/>
          </w:p>
        </w:tc>
      </w:tr>
      <w:tr>
        <w:trPr/>
        <w:tc>
          <w:tcPr>
            <w:tcBorders/>
            <w:tcW w:w="1502" w:type="dxa"/>
            <w:textDirection w:val="lrTb"/>
            <w:noWrap w:val="false"/>
          </w:tcPr>
          <w:p>
            <w:pPr>
              <w:pBdr/>
              <w:spacing/>
              <w:ind/>
              <w:jc w:val="both"/>
              <w:rPr/>
            </w:pPr>
            <w:r>
              <w:t xml:space="preserve">Voie aérobie (lipides)</w:t>
            </w:r>
            <w:r/>
          </w:p>
        </w:tc>
        <w:tc>
          <w:tcPr>
            <w:tcBorders/>
            <w:tcW w:w="1332" w:type="dxa"/>
            <w:textDirection w:val="lrTb"/>
            <w:noWrap w:val="false"/>
          </w:tcPr>
          <w:p>
            <w:pPr>
              <w:pBdr/>
              <w:spacing/>
              <w:ind/>
              <w:jc w:val="both"/>
              <w:rPr/>
            </w:pPr>
            <w:r>
              <w:t xml:space="preserve">Oui</w:t>
            </w:r>
            <w:r/>
          </w:p>
        </w:tc>
        <w:tc>
          <w:tcPr>
            <w:tcBorders/>
            <w:tcW w:w="2125" w:type="dxa"/>
            <w:textDirection w:val="lrTb"/>
            <w:noWrap w:val="false"/>
          </w:tcPr>
          <w:p>
            <w:pPr>
              <w:pBdr/>
              <w:spacing/>
              <w:ind/>
              <w:jc w:val="both"/>
              <w:rPr/>
            </w:pPr>
            <w:r>
              <w:t xml:space="preserve">AGL ou triglycérides en CO</w:t>
            </w:r>
            <w:r>
              <w:rPr>
                <w:vertAlign w:val="subscript"/>
              </w:rPr>
              <w:t xml:space="preserve">2 </w:t>
            </w:r>
            <w:r>
              <w:t xml:space="preserve">et H</w:t>
            </w:r>
            <w:r>
              <w:rPr>
                <w:vertAlign w:val="subscript"/>
              </w:rPr>
              <w:t xml:space="preserve">2</w:t>
            </w:r>
            <w:r>
              <w:t xml:space="preserve">O</w:t>
            </w:r>
            <w:r/>
          </w:p>
        </w:tc>
        <w:tc>
          <w:tcPr>
            <w:tcBorders/>
            <w:tcW w:w="1275" w:type="dxa"/>
            <w:textDirection w:val="lrTb"/>
            <w:noWrap w:val="false"/>
          </w:tcPr>
          <w:p>
            <w:pPr>
              <w:pBdr/>
              <w:spacing/>
              <w:ind/>
              <w:jc w:val="both"/>
              <w:rPr/>
            </w:pPr>
            <w:r>
              <w:t xml:space="preserve">1,5</w:t>
            </w:r>
            <w:r/>
          </w:p>
        </w:tc>
        <w:tc>
          <w:tcPr>
            <w:tcBorders/>
            <w:tcW w:w="1522" w:type="dxa"/>
            <w:textDirection w:val="lrTb"/>
            <w:noWrap w:val="false"/>
          </w:tcPr>
          <w:p>
            <w:pPr>
              <w:pBdr/>
              <w:spacing/>
              <w:ind/>
              <w:jc w:val="both"/>
              <w:rPr/>
            </w:pPr>
            <w:r>
              <w:t xml:space="preserve">&gt; 100</w:t>
            </w:r>
            <w:r/>
          </w:p>
        </w:tc>
        <w:tc>
          <w:tcPr>
            <w:tcBorders/>
            <w:tcW w:w="1316" w:type="dxa"/>
            <w:textDirection w:val="lrTb"/>
            <w:noWrap w:val="false"/>
          </w:tcPr>
          <w:p>
            <w:pPr>
              <w:pBdr/>
              <w:spacing/>
              <w:ind/>
              <w:jc w:val="both"/>
              <w:rPr/>
            </w:pPr>
            <w:r>
              <w:t xml:space="preserve">En jours</w:t>
            </w:r>
            <w:r/>
          </w:p>
        </w:tc>
      </w:tr>
    </w:tbl>
    <w:p>
      <w:pPr>
        <w:pStyle w:val="718"/>
        <w:pBdr/>
        <w:spacing/>
        <w:ind/>
        <w:jc w:val="both"/>
        <w:rPr/>
      </w:pPr>
      <w:r>
        <w:t xml:space="preserve">Le Concept du Crossover</w:t>
      </w:r>
      <w:r/>
    </w:p>
    <w:p>
      <w:pPr>
        <w:pBdr/>
        <w:spacing w:line="240" w:lineRule="auto"/>
        <w:ind/>
        <w:jc w:val="both"/>
        <w:rPr/>
      </w:pPr>
      <w:r>
        <w:t xml:space="preserve">Crossover point correspond au moment où </w:t>
      </w:r>
      <w:r>
        <w:rPr>
          <w:i/>
          <w:color w:val="c55911"/>
          <w:sz w:val="20"/>
          <w:szCs w:val="20"/>
        </w:rPr>
        <w:t xml:space="preserve">50% de l’énergie fournie vient des lipides et 50% vient des glucides</w:t>
      </w:r>
      <w:r>
        <w:t xml:space="preserve">, en aérobie. Il dépend de chacun, de son entraînement en endurance et du régime alimentaire.</w:t>
      </w:r>
      <w:r/>
    </w:p>
    <w:p>
      <w:pPr>
        <w:pStyle w:val="718"/>
        <w:pBdr/>
        <w:spacing/>
        <w:ind/>
        <w:jc w:val="both"/>
        <w:rPr/>
      </w:pPr>
      <w:r>
        <w:t xml:space="preserve">Notion de PMA et VO</w:t>
      </w:r>
      <w:r>
        <w:rPr>
          <w:vertAlign w:val="subscript"/>
        </w:rPr>
        <w:t xml:space="preserve">2 </w:t>
      </w:r>
      <w:r>
        <w:t xml:space="preserve">max</w:t>
      </w:r>
      <w:r/>
    </w:p>
    <w:p>
      <w:pPr>
        <w:pBdr/>
        <w:spacing w:line="240" w:lineRule="auto"/>
        <w:ind/>
        <w:jc w:val="both"/>
        <w:rPr>
          <w:b/>
        </w:rPr>
      </w:pPr>
      <w:r>
        <w:t xml:space="preserve">La PMA se détermine avec un exercice de puissance croissante. Si on y mesure l’O</w:t>
      </w:r>
      <w:r>
        <w:rPr>
          <w:vertAlign w:val="subscript"/>
        </w:rPr>
        <w:t xml:space="preserve">2 </w:t>
      </w:r>
      <w:r>
        <w:t xml:space="preserve">consommé on arrive à un plateau de la consommation d’oxygène : c’est la </w:t>
      </w:r>
      <w:r>
        <w:rPr>
          <w:b/>
        </w:rPr>
        <w:t xml:space="preserve">VO</w:t>
      </w:r>
      <w:r>
        <w:rPr>
          <w:b/>
          <w:vertAlign w:val="subscript"/>
        </w:rPr>
        <w:t xml:space="preserve">2 </w:t>
      </w:r>
      <w:r>
        <w:rPr>
          <w:b/>
        </w:rPr>
        <w:t xml:space="preserve">max. </w:t>
      </w:r>
      <w:r>
        <w:t xml:space="preserve">La </w:t>
      </w:r>
      <w:r>
        <w:rPr>
          <w:b/>
        </w:rPr>
        <w:t xml:space="preserve">PMA</w:t>
      </w:r>
      <w:r>
        <w:t xml:space="preserve"> </w:t>
      </w:r>
      <w:r>
        <w:rPr>
          <w:i/>
          <w:color w:val="767171"/>
        </w:rPr>
        <w:t xml:space="preserve">(puissance maximale aérobie) </w:t>
      </w:r>
      <w:r>
        <w:t xml:space="preserve">est la </w:t>
      </w:r>
      <w:r>
        <w:rPr>
          <w:b/>
        </w:rPr>
        <w:t xml:space="preserve">plus petite puissante à l’atteinte de la VO</w:t>
      </w:r>
      <w:r>
        <w:rPr>
          <w:b/>
          <w:vertAlign w:val="subscript"/>
        </w:rPr>
        <w:t xml:space="preserve">2</w:t>
      </w:r>
      <w:r>
        <w:rPr>
          <w:b/>
        </w:rPr>
        <w:t xml:space="preserve"> max.</w:t>
      </w:r>
      <w:r>
        <w:rPr>
          <w:b/>
        </w:rPr>
      </w:r>
    </w:p>
    <w:p>
      <w:pPr>
        <w:numPr>
          <w:ilvl w:val="0"/>
          <w:numId w:val="14"/>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color w:val="c55911"/>
        </w:rPr>
      </w:pPr>
      <w:r>
        <w:rPr>
          <w:color w:val="c55911"/>
        </w:rPr>
        <w:t xml:space="preserve">Exercice à la PMA : maximal</w:t>
      </w:r>
      <w:r>
        <w:rPr>
          <w:color w:val="c55911"/>
        </w:rPr>
      </w:r>
    </w:p>
    <w:p>
      <w:pPr>
        <w:numPr>
          <w:ilvl w:val="0"/>
          <w:numId w:val="14"/>
        </w:numPr>
        <w:pBdr>
          <w:top w:val="none" w:color="000000" w:sz="4" w:space="0"/>
          <w:left w:val="none" w:color="000000" w:sz="4" w:space="0"/>
          <w:bottom w:val="none" w:color="000000" w:sz="4" w:space="0"/>
          <w:right w:val="none" w:color="000000" w:sz="4" w:space="0"/>
          <w:between w:val="none" w:color="000000" w:sz="4" w:space="0"/>
        </w:pBdr>
        <w:spacing w:after="0" w:line="240" w:lineRule="auto"/>
        <w:ind/>
        <w:jc w:val="both"/>
        <w:rPr>
          <w:color w:val="c55911"/>
        </w:rPr>
      </w:pPr>
      <w:r>
        <w:rPr>
          <w:color w:val="c55911"/>
        </w:rPr>
        <w:t xml:space="preserve">Exercice inférieur : sous-maximal, </w:t>
      </w:r>
      <w:r>
        <w:rPr>
          <w:b/>
          <w:color w:val="c55911"/>
        </w:rPr>
        <w:t xml:space="preserve">endurance</w:t>
      </w:r>
      <w:r>
        <w:rPr>
          <w:color w:val="c55911"/>
        </w:rPr>
      </w:r>
    </w:p>
    <w:p>
      <w:pPr>
        <w:numPr>
          <w:ilvl w:val="0"/>
          <w:numId w:val="14"/>
        </w:numPr>
        <w:pBdr>
          <w:top w:val="none" w:color="000000" w:sz="4" w:space="0"/>
          <w:left w:val="none" w:color="000000" w:sz="4" w:space="0"/>
          <w:bottom w:val="none" w:color="000000" w:sz="4" w:space="0"/>
          <w:right w:val="none" w:color="000000" w:sz="4" w:space="0"/>
          <w:between w:val="none" w:color="000000" w:sz="4" w:space="0"/>
        </w:pBdr>
        <w:spacing w:line="240" w:lineRule="auto"/>
        <w:ind/>
        <w:jc w:val="both"/>
        <w:rPr>
          <w:color w:val="c55911"/>
        </w:rPr>
      </w:pPr>
      <w:r>
        <w:rPr>
          <w:color w:val="c55911"/>
        </w:rPr>
        <w:t xml:space="preserve">Exercice supérieur : supra-maximal, </w:t>
      </w:r>
      <w:r>
        <w:rPr>
          <w:b/>
          <w:color w:val="c55911"/>
        </w:rPr>
        <w:t xml:space="preserve">résistance</w:t>
      </w:r>
      <w:r>
        <w:rPr>
          <w:color w:val="c55911"/>
        </w:rPr>
      </w:r>
    </w:p>
    <w:p>
      <w:pPr>
        <w:pStyle w:val="718"/>
        <w:pBdr/>
        <w:spacing/>
        <w:ind/>
        <w:jc w:val="both"/>
        <w:rPr/>
      </w:pPr>
      <w:r>
        <w:t xml:space="preserve">Valeurs de VO</w:t>
      </w:r>
      <w:r>
        <w:rPr>
          <w:vertAlign w:val="subscript"/>
        </w:rPr>
        <w:t xml:space="preserve">2</w:t>
      </w:r>
      <w:r>
        <w:t xml:space="preserve"> max</w:t>
      </w:r>
      <w:r/>
    </w:p>
    <w:p>
      <w:pPr>
        <w:pBdr/>
        <w:spacing w:line="240" w:lineRule="auto"/>
        <w:ind/>
        <w:jc w:val="both"/>
        <w:rPr/>
      </w:pPr>
      <w:r>
        <w:t xml:space="preserve">Chez un homme sédentaire, on tourne à </w:t>
      </w:r>
      <w:r>
        <w:rPr>
          <w:b/>
        </w:rPr>
        <w:t xml:space="preserve">40 mL.min</w:t>
      </w:r>
      <w:r>
        <w:rPr>
          <w:b/>
          <w:vertAlign w:val="superscript"/>
        </w:rPr>
        <w:t xml:space="preserve">-1</w:t>
      </w:r>
      <w:r>
        <w:rPr>
          <w:b/>
        </w:rPr>
        <w:t xml:space="preserve">.kg</w:t>
      </w:r>
      <w:r>
        <w:rPr>
          <w:b/>
          <w:vertAlign w:val="superscript"/>
        </w:rPr>
        <w:t xml:space="preserve">-1</w:t>
      </w:r>
      <w:r>
        <w:t xml:space="preserve">, chez des sujets entrainés on monte </w:t>
      </w:r>
      <w:r>
        <w:rPr>
          <w:b/>
        </w:rPr>
        <w:t xml:space="preserve">de 50 à 70</w:t>
      </w:r>
      <w:r>
        <w:t xml:space="preserve">, chez des sujets </w:t>
      </w:r>
      <w:r>
        <w:rPr>
          <w:b/>
        </w:rPr>
        <w:t xml:space="preserve">très entrainés à 80</w:t>
      </w:r>
      <w:r>
        <w:t xml:space="preserve">.</w:t>
      </w:r>
      <w:r/>
    </w:p>
    <w:p>
      <w:pPr>
        <w:pBdr/>
        <w:spacing w:line="240" w:lineRule="auto"/>
        <w:ind/>
        <w:jc w:val="both"/>
        <w:rPr/>
      </w:pPr>
      <w:r>
        <w:t xml:space="preserve">Chez une femme même valeur -12% en valeur relative, -30% en valeur absolue.</w:t>
      </w:r>
      <w:r/>
    </w:p>
    <w:p>
      <w:pPr>
        <w:pBdr/>
        <w:spacing w:line="240" w:lineRule="auto"/>
        <w:ind/>
        <w:jc w:val="both"/>
        <w:rPr/>
      </w:pPr>
      <w:r>
        <w:t xml:space="preserve">On a une diminution avec l’âge à partir de 20-30 ans.</w:t>
      </w:r>
      <w:r/>
    </w:p>
    <w:p>
      <w:pPr>
        <w:pStyle w:val="717"/>
        <w:pBdr/>
        <w:spacing/>
        <w:ind/>
        <w:jc w:val="both"/>
        <w:rPr/>
      </w:pPr>
      <w:r>
        <w:t xml:space="preserve">Résumé</w:t>
      </w:r>
      <w:r/>
    </w:p>
    <w:p>
      <w:pPr>
        <w:pBdr/>
        <w:spacing/>
        <w:ind/>
        <w:jc w:val="both"/>
        <w:rPr/>
      </w:pPr>
      <w:r>
        <mc:AlternateContent>
          <mc:Choice Requires="wpg">
            <w:drawing>
              <wp:inline xmlns:wp="http://schemas.openxmlformats.org/drawingml/2006/wordprocessingDrawing" distT="0" distB="0" distL="0" distR="0">
                <wp:extent cx="5760720" cy="4046220"/>
                <wp:effectExtent l="0" t="0" r="0" b="0"/>
                <wp:docPr id="7" name="image10.png"/>
                <wp:cNvGraphicFramePr/>
                <a:graphic xmlns:a="http://schemas.openxmlformats.org/drawingml/2006/main">
                  <a:graphicData uri="http://schemas.openxmlformats.org/drawingml/2006/picture">
                    <pic:pic xmlns:pic="http://schemas.openxmlformats.org/drawingml/2006/picture">
                      <pic:nvPicPr>
                        <pic:cNvPr id="0" name="image10.png"/>
                        <pic:cNvPicPr/>
                        <pic:nvPr/>
                      </pic:nvPicPr>
                      <pic:blipFill>
                        <a:blip r:embed="rId16"/>
                        <a:stretch/>
                      </pic:blipFill>
                      <pic:spPr bwMode="auto">
                        <a:xfrm>
                          <a:off x="0" y="0"/>
                          <a:ext cx="5760720" cy="404622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453.60pt;height:318.60pt;mso-wrap-distance-left:0.00pt;mso-wrap-distance-top:0.00pt;mso-wrap-distance-right:0.00pt;mso-wrap-distance-bottom:0.00pt;z-index:1;">
                <v:imagedata r:id="rId16" o:title=""/>
                <o:lock v:ext="edit" rotation="t"/>
              </v:shape>
            </w:pict>
          </mc:Fallback>
        </mc:AlternateContent>
      </w:r>
      <w:r/>
    </w:p>
    <w:p>
      <w:pPr>
        <w:pBdr/>
        <w:spacing/>
        <w:ind/>
        <w:jc w:val="both"/>
        <w:rPr/>
      </w:pPr>
      <w:r>
        <mc:AlternateContent>
          <mc:Choice Requires="wpg">
            <w:drawing>
              <wp:inline xmlns:wp="http://schemas.openxmlformats.org/drawingml/2006/wordprocessingDrawing" distT="0" distB="0" distL="0" distR="0">
                <wp:extent cx="5748655" cy="3418840"/>
                <wp:effectExtent l="0" t="0" r="0" b="0"/>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r/>
                      </pic:nvPicPr>
                      <pic:blipFill>
                        <a:blip r:embed="rId17"/>
                        <a:stretch/>
                      </pic:blipFill>
                      <pic:spPr bwMode="auto">
                        <a:xfrm>
                          <a:off x="0" y="0"/>
                          <a:ext cx="5748655" cy="3418840"/>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452.65pt;height:269.20pt;mso-wrap-distance-left:0.00pt;mso-wrap-distance-top:0.00pt;mso-wrap-distance-right:0.00pt;mso-wrap-distance-bottom:0.00pt;z-index:1;">
                <v:imagedata r:id="rId17" o:title=""/>
                <o:lock v:ext="edit" rotation="t"/>
              </v:shape>
            </w:pict>
          </mc:Fallback>
        </mc:AlternateContent>
      </w:r>
      <w:r/>
    </w:p>
    <w:p>
      <w:pPr>
        <w:pStyle w:val="717"/>
        <w:pBdr/>
        <w:spacing/>
        <w:ind/>
        <w:jc w:val="both"/>
        <w:rPr/>
      </w:pPr>
      <w:r>
        <w:br w:type="page" w:clear="all"/>
      </w:r>
      <w:r>
        <w:t xml:space="preserve">Les adaptations musculaires à l’entraînement aérobie</w:t>
      </w:r>
      <w:r/>
    </w:p>
    <w:p>
      <w:pPr>
        <w:pBdr/>
        <w:spacing/>
        <w:ind/>
        <w:rPr>
          <w:color w:val="2f5496"/>
        </w:rPr>
      </w:pPr>
      <w:r>
        <w:t xml:space="preserve">L’entraînement conduit à une augmentation de la </w:t>
      </w:r>
      <w:r>
        <w:rPr>
          <w:color w:val="c00000"/>
        </w:rPr>
        <w:t xml:space="preserve">concentration de glycogène </w:t>
      </w:r>
      <w:r>
        <w:t xml:space="preserve">et de </w:t>
      </w:r>
      <w:r>
        <w:rPr>
          <w:color w:val="c00000"/>
        </w:rPr>
        <w:t xml:space="preserve">lipides </w:t>
      </w:r>
      <w:r>
        <w:rPr>
          <w:color w:val="2f5496"/>
        </w:rPr>
        <w:t xml:space="preserve">intra musculaires.</w:t>
      </w:r>
      <w:r>
        <w:rPr>
          <w:color w:val="2f5496"/>
        </w:rPr>
      </w:r>
    </w:p>
    <w:p>
      <w:pPr>
        <w:pStyle w:val="718"/>
        <w:pBdr/>
        <w:spacing/>
        <w:ind/>
        <w:jc w:val="both"/>
        <w:rPr/>
      </w:pPr>
      <w:r>
        <w:t xml:space="preserve">Le type de fibre</w:t>
      </w:r>
      <w:r/>
    </w:p>
    <w:p>
      <w:pPr>
        <w:pBdr/>
        <w:spacing/>
        <w:ind/>
        <w:jc w:val="both"/>
        <w:rPr/>
      </w:pPr>
      <w:r>
        <w:tab/>
        <w:t xml:space="preserve">L’exercice aérobie peut augmenter la </w:t>
      </w:r>
      <w:r>
        <w:rPr>
          <w:color w:val="c00000"/>
        </w:rPr>
        <w:t xml:space="preserve">surface de section des fibres de type I </w:t>
      </w:r>
      <w:r>
        <w:t xml:space="preserve">jusqu’à </w:t>
      </w:r>
      <w:r>
        <w:rPr>
          <w:color w:val="538135"/>
        </w:rPr>
        <w:t xml:space="preserve">25%. </w:t>
      </w:r>
      <w:r>
        <w:t xml:space="preserve">De plus, même si le type de fibre ne change que de peu il semble y avoir un </w:t>
      </w:r>
      <w:r>
        <w:rPr>
          <w:color w:val="2f5496"/>
        </w:rPr>
        <w:t xml:space="preserve">continuum évolutif </w:t>
      </w:r>
      <w:r>
        <w:t xml:space="preserve">des fibres IIx vers IIa et IIa vers I. </w:t>
      </w:r>
      <w:r/>
    </w:p>
    <w:p>
      <w:pPr>
        <w:pBdr/>
        <w:spacing/>
        <w:ind/>
        <w:jc w:val="both"/>
        <w:rPr/>
      </w:pPr>
      <w:r>
        <w:tab/>
        <w:t xml:space="preserve">Dans l’étude </w:t>
      </w:r>
      <w:r>
        <w:rPr>
          <w:b/>
          <w:i/>
          <w:color w:val="c55911"/>
          <w:sz w:val="20"/>
          <w:szCs w:val="20"/>
        </w:rPr>
        <w:t xml:space="preserve">HERITAGE</w:t>
      </w:r>
      <w:r>
        <w:t xml:space="preserve">, sur un entraînement de 20 semaines on a pu observer :</w:t>
      </w:r>
      <w:r/>
    </w:p>
    <w:tbl>
      <w:tblPr>
        <w:tblInd w:w="0" w:type="dxa"/>
        <w:tblW w:w="90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Style w:val="730"/>
      </w:tblPr>
      <w:tblGrid>
        <w:gridCol w:w="3020"/>
        <w:gridCol w:w="3021"/>
        <w:gridCol w:w="3021"/>
      </w:tblGrid>
      <w:tr>
        <w:trPr/>
        <w:tc>
          <w:tcPr>
            <w:tcBorders/>
            <w:tcW w:w="3020" w:type="dxa"/>
            <w:textDirection w:val="lrTb"/>
            <w:noWrap w:val="false"/>
          </w:tcPr>
          <w:p>
            <w:pPr>
              <w:pBdr/>
              <w:spacing/>
              <w:ind/>
              <w:jc w:val="both"/>
              <w:rPr/>
            </w:pPr>
            <w:r/>
            <w:r/>
          </w:p>
        </w:tc>
        <w:tc>
          <w:tcPr>
            <w:tcBorders/>
            <w:tcW w:w="3021" w:type="dxa"/>
            <w:textDirection w:val="lrTb"/>
            <w:noWrap w:val="false"/>
          </w:tcPr>
          <w:p>
            <w:pPr>
              <w:pBdr/>
              <w:spacing/>
              <w:ind/>
              <w:jc w:val="both"/>
              <w:rPr/>
            </w:pPr>
            <w:r>
              <w:t xml:space="preserve">Avant</w:t>
            </w:r>
            <w:r/>
          </w:p>
        </w:tc>
        <w:tc>
          <w:tcPr>
            <w:tcBorders/>
            <w:tcW w:w="3021" w:type="dxa"/>
            <w:textDirection w:val="lrTb"/>
            <w:noWrap w:val="false"/>
          </w:tcPr>
          <w:p>
            <w:pPr>
              <w:pBdr/>
              <w:spacing/>
              <w:ind/>
              <w:jc w:val="both"/>
              <w:rPr/>
            </w:pPr>
            <w:r>
              <w:t xml:space="preserve">Après</w:t>
            </w:r>
            <w:r/>
          </w:p>
        </w:tc>
      </w:tr>
      <w:tr>
        <w:trPr/>
        <w:tc>
          <w:tcPr>
            <w:tcBorders/>
            <w:tcW w:w="3020" w:type="dxa"/>
            <w:textDirection w:val="lrTb"/>
            <w:noWrap w:val="false"/>
          </w:tcPr>
          <w:p>
            <w:pPr>
              <w:pBdr/>
              <w:spacing/>
              <w:ind/>
              <w:jc w:val="both"/>
              <w:rPr/>
            </w:pPr>
            <w:r>
              <w:t xml:space="preserve">Fibres type I</w:t>
            </w:r>
            <w:r/>
          </w:p>
        </w:tc>
        <w:tc>
          <w:tcPr>
            <w:tcBorders/>
            <w:tcW w:w="3021" w:type="dxa"/>
            <w:textDirection w:val="lrTb"/>
            <w:noWrap w:val="false"/>
          </w:tcPr>
          <w:p>
            <w:pPr>
              <w:pBdr/>
              <w:spacing/>
              <w:ind/>
              <w:jc w:val="both"/>
              <w:rPr/>
            </w:pPr>
            <w:r>
              <w:t xml:space="preserve">43%</w:t>
            </w:r>
            <w:r/>
          </w:p>
        </w:tc>
        <w:tc>
          <w:tcPr>
            <w:tcBorders/>
            <w:tcW w:w="3021" w:type="dxa"/>
            <w:textDirection w:val="lrTb"/>
            <w:noWrap w:val="false"/>
          </w:tcPr>
          <w:p>
            <w:pPr>
              <w:pBdr/>
              <w:spacing/>
              <w:ind/>
              <w:jc w:val="both"/>
              <w:rPr/>
            </w:pPr>
            <w:r>
              <w:t xml:space="preserve">47%</w:t>
            </w:r>
            <w:r/>
          </w:p>
        </w:tc>
      </w:tr>
      <w:tr>
        <w:trPr/>
        <w:tc>
          <w:tcPr>
            <w:tcBorders/>
            <w:tcW w:w="3020" w:type="dxa"/>
            <w:textDirection w:val="lrTb"/>
            <w:noWrap w:val="false"/>
          </w:tcPr>
          <w:p>
            <w:pPr>
              <w:pBdr/>
              <w:spacing/>
              <w:ind/>
              <w:jc w:val="both"/>
              <w:rPr/>
            </w:pPr>
            <w:r>
              <w:t xml:space="preserve">Fibres type IIa</w:t>
            </w:r>
            <w:r/>
          </w:p>
        </w:tc>
        <w:tc>
          <w:tcPr>
            <w:tcBorders/>
            <w:tcW w:w="3021" w:type="dxa"/>
            <w:textDirection w:val="lrTb"/>
            <w:noWrap w:val="false"/>
          </w:tcPr>
          <w:p>
            <w:pPr>
              <w:pBdr/>
              <w:spacing/>
              <w:ind/>
              <w:jc w:val="both"/>
              <w:rPr/>
            </w:pPr>
            <w:r>
              <w:t xml:space="preserve">Inchangé</w:t>
            </w:r>
            <w:r/>
          </w:p>
        </w:tc>
        <w:tc>
          <w:tcPr>
            <w:tcBorders/>
            <w:tcW w:w="3021" w:type="dxa"/>
            <w:textDirection w:val="lrTb"/>
            <w:noWrap w:val="false"/>
          </w:tcPr>
          <w:p>
            <w:pPr>
              <w:pBdr/>
              <w:spacing/>
              <w:ind/>
              <w:jc w:val="both"/>
              <w:rPr/>
            </w:pPr>
            <w:r>
              <w:t xml:space="preserve">Inchangé</w:t>
            </w:r>
            <w:r/>
          </w:p>
        </w:tc>
      </w:tr>
      <w:tr>
        <w:trPr/>
        <w:tc>
          <w:tcPr>
            <w:tcBorders/>
            <w:tcW w:w="3020" w:type="dxa"/>
            <w:textDirection w:val="lrTb"/>
            <w:noWrap w:val="false"/>
          </w:tcPr>
          <w:p>
            <w:pPr>
              <w:pBdr/>
              <w:spacing/>
              <w:ind/>
              <w:jc w:val="both"/>
              <w:rPr/>
            </w:pPr>
            <w:r>
              <w:t xml:space="preserve">Fibres type IIx</w:t>
            </w:r>
            <w:r/>
          </w:p>
        </w:tc>
        <w:tc>
          <w:tcPr>
            <w:tcBorders/>
            <w:tcW w:w="3021" w:type="dxa"/>
            <w:textDirection w:val="lrTb"/>
            <w:noWrap w:val="false"/>
          </w:tcPr>
          <w:p>
            <w:pPr>
              <w:pBdr/>
              <w:spacing/>
              <w:ind/>
              <w:jc w:val="both"/>
              <w:rPr/>
            </w:pPr>
            <w:r>
              <w:t xml:space="preserve">20%</w:t>
            </w:r>
            <w:r/>
          </w:p>
        </w:tc>
        <w:tc>
          <w:tcPr>
            <w:tcBorders/>
            <w:tcW w:w="3021" w:type="dxa"/>
            <w:textDirection w:val="lrTb"/>
            <w:noWrap w:val="false"/>
          </w:tcPr>
          <w:p>
            <w:pPr>
              <w:pBdr/>
              <w:spacing/>
              <w:ind/>
              <w:jc w:val="both"/>
              <w:rPr/>
            </w:pPr>
            <w:r>
              <w:t xml:space="preserve">15%</w:t>
            </w:r>
            <w:r/>
          </w:p>
        </w:tc>
      </w:tr>
    </w:tbl>
    <w:p>
      <w:pPr>
        <w:pBdr/>
        <w:spacing/>
        <w:ind/>
        <w:jc w:val="both"/>
        <w:rPr/>
      </w:pPr>
      <w:r/>
      <w:r/>
    </w:p>
    <w:p>
      <w:pPr>
        <w:pBdr/>
        <w:spacing/>
        <w:ind/>
        <w:jc w:val="both"/>
        <w:rPr/>
      </w:pPr>
      <w:r>
        <w:t xml:space="preserve">Cependant, la transformation de IIa vers I est assez controversée et pas retrouvée de manière systématique dans les études.</w:t>
      </w:r>
      <w:r/>
    </w:p>
    <w:p>
      <w:pPr>
        <w:pStyle w:val="718"/>
        <w:pBdr/>
        <w:spacing/>
        <w:ind/>
        <w:jc w:val="both"/>
        <w:rPr/>
      </w:pPr>
      <w:r>
        <w:t xml:space="preserve">La circulation capillaire</w:t>
      </w:r>
      <w:r/>
    </w:p>
    <w:p>
      <w:pPr>
        <w:pBdr/>
        <w:spacing/>
        <w:ind/>
        <w:jc w:val="both"/>
        <w:rPr/>
      </w:pPr>
      <w:r>
        <w:tab/>
      </w:r>
      <w:r>
        <w:rPr>
          <w:color w:val="2f5496"/>
        </w:rPr>
        <w:t xml:space="preserve">L’augmentation de la densité capillaire </w:t>
      </w:r>
      <w:r>
        <w:t xml:space="preserve">(</w:t>
      </w:r>
      <w:r>
        <w:rPr>
          <w:i/>
          <w:color w:val="c55911"/>
          <w:sz w:val="20"/>
          <w:szCs w:val="20"/>
        </w:rPr>
        <w:t xml:space="preserve">nombre de capillaires par fibre musculaire</w:t>
      </w:r>
      <w:r>
        <w:t xml:space="preserve">) est une des adaptations les plus </w:t>
      </w:r>
      <w:r>
        <w:rPr>
          <w:color w:val="c00000"/>
        </w:rPr>
        <w:t xml:space="preserve">importantes </w:t>
      </w:r>
      <w:r>
        <w:t xml:space="preserve">à l’entraînement aérobie. Ce nombre peut augmenter de plus de </w:t>
      </w:r>
      <w:r>
        <w:rPr>
          <w:color w:val="538135"/>
        </w:rPr>
        <w:t xml:space="preserve">15% </w:t>
      </w:r>
      <w:r>
        <w:t xml:space="preserve">après un travail aérobie long et intensif.</w:t>
      </w:r>
      <w:r/>
    </w:p>
    <w:p>
      <w:pPr>
        <w:pBdr/>
        <w:spacing/>
        <w:ind/>
        <w:jc w:val="both"/>
        <w:rPr/>
      </w:pPr>
      <w:r>
        <w:tab/>
        <w:t xml:space="preserve">Cette capillarisation supplémentaire augmente les </w:t>
      </w:r>
      <w:r>
        <w:rPr>
          <w:color w:val="c00000"/>
        </w:rPr>
        <w:t xml:space="preserve">échanges gazeux </w:t>
      </w:r>
      <w:r>
        <w:t xml:space="preserve">entre le sang et les muscles qui travaillent mais aussi pour les transferts de </w:t>
      </w:r>
      <w:r>
        <w:rPr>
          <w:color w:val="c00000"/>
        </w:rPr>
        <w:t xml:space="preserve">chaleur</w:t>
      </w:r>
      <w:r>
        <w:t xml:space="preserve"> et de </w:t>
      </w:r>
      <w:r>
        <w:rPr>
          <w:color w:val="c00000"/>
        </w:rPr>
        <w:t xml:space="preserve">nutriments</w:t>
      </w:r>
      <w:r>
        <w:t xml:space="preserve">. </w:t>
      </w:r>
      <w:r/>
    </w:p>
    <w:p>
      <w:pPr>
        <w:pBdr/>
        <w:spacing/>
        <w:ind/>
        <w:jc w:val="both"/>
        <w:rPr/>
      </w:pPr>
      <w:r>
        <w:tab/>
        <w:t xml:space="preserve">Probablement un </w:t>
      </w:r>
      <w:r>
        <w:rPr>
          <w:color w:val="c00000"/>
        </w:rPr>
        <w:t xml:space="preserve">des facteurs le plus important </w:t>
      </w:r>
      <w:r>
        <w:t xml:space="preserve">permettant d’expliquer le </w:t>
      </w:r>
      <w:r>
        <w:rPr>
          <w:b/>
          <w:color w:val="c00000"/>
        </w:rPr>
        <w:t xml:space="preserve">gain de VO</w:t>
      </w:r>
      <w:r>
        <w:rPr>
          <w:b/>
          <w:color w:val="c00000"/>
          <w:vertAlign w:val="subscript"/>
        </w:rPr>
        <w:t xml:space="preserve">2max</w:t>
      </w:r>
      <w:r>
        <w:rPr>
          <w:b/>
          <w:color w:val="c00000"/>
        </w:rPr>
        <w:t xml:space="preserve">.</w:t>
      </w:r>
      <w:r/>
    </w:p>
    <w:p>
      <w:pPr>
        <w:pStyle w:val="718"/>
        <w:pBdr/>
        <w:spacing/>
        <w:ind/>
        <w:jc w:val="both"/>
        <w:rPr/>
      </w:pPr>
      <w:r>
        <w:t xml:space="preserve">La teneur en myoglobine</w:t>
      </w:r>
      <w:r/>
    </w:p>
    <w:p>
      <w:pPr>
        <w:pBdr/>
        <w:spacing/>
        <w:ind/>
        <w:jc w:val="both"/>
        <w:rPr/>
      </w:pPr>
      <w:r>
        <w:tab/>
        <w:t xml:space="preserve">Lorsque l’oxygène pénètre dans la fibre musculaire il se fixe sur la </w:t>
      </w:r>
      <w:r>
        <w:rPr>
          <w:b/>
          <w:i/>
          <w:color w:val="c55911"/>
          <w:sz w:val="20"/>
          <w:szCs w:val="20"/>
        </w:rPr>
        <w:t xml:space="preserve">myoglobine</w:t>
      </w:r>
      <w:r>
        <w:t xml:space="preserve">, une molécule semblable à l’hémoglobine. La myoglobine </w:t>
      </w:r>
      <w:r>
        <w:rPr>
          <w:color w:val="2f5496"/>
        </w:rPr>
        <w:t xml:space="preserve">assure la navette des molécules d’oxygène entre la membrane cellulaire et les mitochondries</w:t>
      </w:r>
      <w:r>
        <w:t xml:space="preserve">. Elle confère même aux fibres de type I leur </w:t>
      </w:r>
      <w:r>
        <w:rPr>
          <w:color w:val="c00000"/>
        </w:rPr>
        <w:t xml:space="preserve">couleur rouge</w:t>
      </w:r>
      <w:r>
        <w:t xml:space="preserve">.</w:t>
      </w:r>
      <w:r/>
    </w:p>
    <w:p>
      <w:pPr>
        <w:pBdr/>
        <w:spacing/>
        <w:ind/>
        <w:jc w:val="both"/>
        <w:rPr/>
      </w:pPr>
      <w:r>
        <w:tab/>
        <w:t xml:space="preserve">Lors de la contraction musculaire, </w:t>
      </w:r>
      <w:r>
        <w:rPr>
          <w:color w:val="c00000"/>
        </w:rPr>
        <w:t xml:space="preserve">l’oxygène stocké sur la myoglobine est relâché vers la mitochondrie</w:t>
      </w:r>
      <w:r>
        <w:t xml:space="preserve">. Cette </w:t>
      </w:r>
      <w:r>
        <w:rPr>
          <w:b/>
          <w:i/>
          <w:color w:val="c55911"/>
          <w:sz w:val="20"/>
          <w:szCs w:val="20"/>
        </w:rPr>
        <w:t xml:space="preserve">réserve</w:t>
      </w:r>
      <w:r>
        <w:t xml:space="preserve"> est utilisée au </w:t>
      </w:r>
      <w:r>
        <w:rPr>
          <w:color w:val="2f5496"/>
        </w:rPr>
        <w:t xml:space="preserve">tout début de l’exercice</w:t>
      </w:r>
      <w:r>
        <w:t xml:space="preserve">, elle permet de fournir l’oxygène </w:t>
      </w:r>
      <w:r>
        <w:rPr>
          <w:color w:val="2f5496"/>
        </w:rPr>
        <w:t xml:space="preserve">avant que le système cardiovasculaire n’assure à son tour </w:t>
      </w:r>
      <w:r>
        <w:t xml:space="preserve">l’approvisionnement des cellules musculaires</w:t>
      </w:r>
      <w:r/>
    </w:p>
    <w:p>
      <w:pPr>
        <w:pBdr/>
        <w:spacing/>
        <w:ind w:firstLine="708"/>
        <w:jc w:val="both"/>
        <w:rPr/>
      </w:pPr>
      <w:r>
        <w:t xml:space="preserve">L’entraînement aérobie peut améliorer le contenu en myoglobine </w:t>
      </w:r>
      <w:r>
        <w:rPr>
          <w:color w:val="538135"/>
        </w:rPr>
        <w:t xml:space="preserve">de 75 à 80%.</w:t>
      </w:r>
      <w:r/>
    </w:p>
    <w:p>
      <w:pPr>
        <w:pStyle w:val="718"/>
        <w:pBdr/>
        <w:spacing/>
        <w:ind/>
        <w:jc w:val="both"/>
        <w:rPr/>
      </w:pPr>
      <w:r>
        <w:t xml:space="preserve">La fonction mitochondriale</w:t>
      </w:r>
      <w:r/>
    </w:p>
    <w:p>
      <w:pPr>
        <w:pBdr/>
        <w:spacing/>
        <w:ind/>
        <w:jc w:val="both"/>
        <w:rPr/>
      </w:pPr>
      <w:r>
        <w:tab/>
        <w:t xml:space="preserve">L’entraînement en aérobie améliore le </w:t>
      </w:r>
      <w:r>
        <w:rPr>
          <w:b/>
          <w:i/>
          <w:color w:val="c55911"/>
          <w:sz w:val="20"/>
          <w:szCs w:val="20"/>
        </w:rPr>
        <w:t xml:space="preserve">nombre de mitochondrie</w:t>
      </w:r>
      <w:r>
        <w:t xml:space="preserve"> </w:t>
      </w:r>
      <w:r>
        <w:rPr>
          <w:color w:val="538135"/>
        </w:rPr>
        <w:t xml:space="preserve">(15% dans une étude chez des rats) </w:t>
      </w:r>
      <w:r>
        <w:t xml:space="preserve">et leur </w:t>
      </w:r>
      <w:r>
        <w:rPr>
          <w:b/>
          <w:i/>
          <w:color w:val="c55911"/>
          <w:sz w:val="20"/>
          <w:szCs w:val="20"/>
        </w:rPr>
        <w:t xml:space="preserve">taille</w:t>
      </w:r>
      <w:r>
        <w:t xml:space="preserve"> </w:t>
      </w:r>
      <w:r>
        <w:rPr>
          <w:color w:val="538135"/>
        </w:rPr>
        <w:t xml:space="preserve">(35% dans la même étude).</w:t>
      </w:r>
      <w:r/>
    </w:p>
    <w:p>
      <w:pPr>
        <w:pBdr/>
        <w:spacing/>
        <w:ind/>
        <w:jc w:val="both"/>
        <w:rPr>
          <w:color w:val="c00000"/>
        </w:rPr>
      </w:pPr>
      <w:r>
        <w:tab/>
        <w:t xml:space="preserve">De plus, les mitochondries d’une fibre ne sont pas toutes aussi efficaces, de </w:t>
      </w:r>
      <w:r>
        <w:rPr>
          <w:color w:val="c00000"/>
        </w:rPr>
        <w:t xml:space="preserve">nouvelles se forment constamment </w:t>
      </w:r>
      <w:r>
        <w:t xml:space="preserve">(</w:t>
      </w:r>
      <w:r>
        <w:rPr>
          <w:i/>
          <w:color w:val="c55911"/>
          <w:sz w:val="20"/>
          <w:szCs w:val="20"/>
        </w:rPr>
        <w:t xml:space="preserve">biogenèse</w:t>
      </w:r>
      <w:r>
        <w:t xml:space="preserve">), d’autres sont </w:t>
      </w:r>
      <w:r>
        <w:rPr>
          <w:color w:val="c00000"/>
        </w:rPr>
        <w:t xml:space="preserve">éliminées </w:t>
      </w:r>
      <w:r>
        <w:t xml:space="preserve">(</w:t>
      </w:r>
      <w:r>
        <w:rPr>
          <w:i/>
          <w:color w:val="c55911"/>
          <w:sz w:val="20"/>
          <w:szCs w:val="20"/>
        </w:rPr>
        <w:t xml:space="preserve">mitophagie</w:t>
      </w:r>
      <w:r>
        <w:t xml:space="preserve">). La protéines </w:t>
      </w:r>
      <w:r>
        <w:rPr>
          <w:b/>
          <w:i/>
          <w:color w:val="c55911"/>
          <w:sz w:val="20"/>
          <w:szCs w:val="20"/>
        </w:rPr>
        <w:t xml:space="preserve">PGC-1α</w:t>
      </w:r>
      <w:r>
        <w:t xml:space="preserve"> est une protéine clé </w:t>
      </w:r>
      <w:r>
        <w:t xml:space="preserve">impliquée dans la biogenèse mitochondriale. Les exercices aigus et l’entraînement qu’ils soient aérobie ou de musculation </w:t>
      </w:r>
      <w:r>
        <w:rPr>
          <w:color w:val="c00000"/>
        </w:rPr>
        <w:t xml:space="preserve">améliorent l’expression du PGC-1α.</w:t>
      </w:r>
      <w:r>
        <w:rPr>
          <w:color w:val="c00000"/>
        </w:rPr>
      </w:r>
    </w:p>
    <w:p>
      <w:pPr>
        <w:pBdr/>
        <w:spacing/>
        <w:ind/>
        <w:jc w:val="both"/>
        <w:rPr/>
      </w:pPr>
      <w:r>
        <w:tab/>
        <w:t xml:space="preserve">Il est important d’avoir un ajout de nouvelles mitochondries, mais </w:t>
      </w:r>
      <w:r>
        <w:rPr>
          <w:color w:val="c00000"/>
        </w:rPr>
        <w:t xml:space="preserve">le maintien d’une population fonctionnelle l’est tout autant</w:t>
      </w:r>
      <w:r>
        <w:t xml:space="preserve">. L’augmentation de </w:t>
      </w:r>
      <w:r>
        <w:rPr>
          <w:b/>
          <w:i/>
          <w:color w:val="c55911"/>
          <w:sz w:val="20"/>
          <w:szCs w:val="20"/>
        </w:rPr>
        <w:t xml:space="preserve">PGC-1α</w:t>
      </w:r>
      <w:r>
        <w:t xml:space="preserve"> améliore non seulement la </w:t>
      </w:r>
      <w:r>
        <w:rPr>
          <w:i/>
          <w:color w:val="c55911"/>
          <w:sz w:val="20"/>
          <w:szCs w:val="20"/>
        </w:rPr>
        <w:t xml:space="preserve">biogenèse</w:t>
      </w:r>
      <w:r>
        <w:t xml:space="preserve">, mais aussi le </w:t>
      </w:r>
      <w:r>
        <w:rPr>
          <w:color w:val="2f5496"/>
        </w:rPr>
        <w:t xml:space="preserve">remplacement des anciennes mitochondries endommagées </w:t>
      </w:r>
      <w:r>
        <w:t xml:space="preserve">(</w:t>
      </w:r>
      <w:r>
        <w:rPr>
          <w:color w:val="538135"/>
        </w:rPr>
        <w:t xml:space="preserve">hypoxie, inflammation, accumulation de sous-produits métaboliques</w:t>
      </w:r>
      <w:r>
        <w:t xml:space="preserve">) par de nouvelles fonctionnelles.</w:t>
      </w:r>
      <w:r>
        <mc:AlternateContent>
          <mc:Choice Requires="wpg">
            <w:drawing>
              <wp:anchor xmlns:wp="http://schemas.openxmlformats.org/drawingml/2006/wordprocessingDrawing" xmlns:wp14="http://schemas.microsoft.com/office/word/2010/wordprocessingDrawing" distT="0" distB="0" distL="114300" distR="114300" simplePos="0" relativeHeight="251659264" behindDoc="0" locked="0" layoutInCell="1" allowOverlap="1">
                <wp:simplePos x="0" y="0"/>
                <wp:positionH relativeFrom="column">
                  <wp:posOffset>-2647</wp:posOffset>
                </wp:positionH>
                <wp:positionV relativeFrom="paragraph">
                  <wp:posOffset>527</wp:posOffset>
                </wp:positionV>
                <wp:extent cx="5760720" cy="2098040"/>
                <wp:effectExtent l="0" t="0" r="0" b="0"/>
                <wp:wrapTopAndBottom/>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ic:nvPr/>
                      </pic:nvPicPr>
                      <pic:blipFill>
                        <a:blip r:embed="rId18"/>
                        <a:stretch/>
                      </pic:blipFill>
                      <pic:spPr bwMode="auto">
                        <a:xfrm>
                          <a:off x="0" y="0"/>
                          <a:ext cx="5760720" cy="209804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59264;o:allowoverlap:true;o:allowincell:true;mso-position-horizontal-relative:text;margin-left:-0.21pt;mso-position-horizontal:absolute;mso-position-vertical-relative:text;margin-top:0.04pt;mso-position-vertical:absolute;width:453.60pt;height:165.20pt;mso-wrap-distance-left:9.00pt;mso-wrap-distance-top:0.00pt;mso-wrap-distance-right:9.00pt;mso-wrap-distance-bottom:0.00pt;z-index:1;">
                <w10:wrap type="topAndBottom"/>
                <v:imagedata r:id="rId18" o:title=""/>
                <o:lock v:ext="edit" rotation="t"/>
              </v:shape>
            </w:pict>
          </mc:Fallback>
        </mc:AlternateContent>
      </w:r>
      <w:r/>
    </w:p>
    <w:p>
      <w:pPr>
        <w:pStyle w:val="718"/>
        <w:pBdr/>
        <w:spacing/>
        <w:ind/>
        <w:jc w:val="both"/>
        <w:rPr/>
      </w:pPr>
      <w:r>
        <w:t xml:space="preserve">Les enzymes oxydatives</w:t>
      </w:r>
      <w:r>
        <mc:AlternateContent>
          <mc:Choice Requires="wpg">
            <w:drawing>
              <wp:anchor xmlns:wp="http://schemas.openxmlformats.org/drawingml/2006/wordprocessingDrawing" xmlns:wp14="http://schemas.microsoft.com/office/word/2010/wordprocessingDrawing" distT="0" distB="0" distL="114300" distR="114300" simplePos="0" relativeHeight="251660288" behindDoc="0" locked="0" layoutInCell="1" allowOverlap="1">
                <wp:simplePos x="0" y="0"/>
                <wp:positionH relativeFrom="column">
                  <wp:posOffset>-262026</wp:posOffset>
                </wp:positionH>
                <wp:positionV relativeFrom="paragraph">
                  <wp:posOffset>323742</wp:posOffset>
                </wp:positionV>
                <wp:extent cx="2096135" cy="4771390"/>
                <wp:effectExtent l="0" t="0" r="0" b="0"/>
                <wp:wrapSquare wrapText="bothSides"/>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ic:nvPr/>
                      </pic:nvPicPr>
                      <pic:blipFill>
                        <a:blip r:embed="rId19"/>
                        <a:stretch/>
                      </pic:blipFill>
                      <pic:spPr bwMode="auto">
                        <a:xfrm>
                          <a:off x="0" y="0"/>
                          <a:ext cx="2096135" cy="4771390"/>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position:absolute;z-index:251660288;o:allowoverlap:true;o:allowincell:true;mso-position-horizontal-relative:text;margin-left:-20.63pt;mso-position-horizontal:absolute;mso-position-vertical-relative:text;margin-top:25.49pt;mso-position-vertical:absolute;width:165.05pt;height:375.70pt;mso-wrap-distance-left:9.00pt;mso-wrap-distance-top:0.00pt;mso-wrap-distance-right:9.00pt;mso-wrap-distance-bottom:0.00pt;z-index:1;">
                <w10:wrap type="square"/>
                <v:imagedata r:id="rId19" o:title=""/>
                <o:lock v:ext="edit" rotation="t"/>
              </v:shape>
            </w:pict>
          </mc:Fallback>
        </mc:AlternateContent>
      </w:r>
      <w:r/>
    </w:p>
    <w:p>
      <w:pPr>
        <w:pBdr/>
        <w:spacing/>
        <w:ind/>
        <w:jc w:val="both"/>
        <w:rPr/>
      </w:pPr>
      <w:r>
        <w:tab/>
        <w:t xml:space="preserve">L’augmentation du nombre et de la taille des mitochondries induite par l’entraînement aérobie contribue à améliorer l’aptitude oxydative du muscle. Les dégradations oxydatives des substrats métaboliques et la production d’ATP </w:t>
      </w:r>
      <w:r>
        <w:rPr>
          <w:color w:val="c00000"/>
        </w:rPr>
        <w:t xml:space="preserve">nécessitent des enzymes oxydatives mitochondriales</w:t>
      </w:r>
      <w:r>
        <w:t xml:space="preserve">. L’entraînement aérobie </w:t>
      </w:r>
      <w:r>
        <w:rPr>
          <w:i/>
          <w:color w:val="c55911"/>
          <w:sz w:val="20"/>
          <w:szCs w:val="20"/>
        </w:rPr>
        <w:t xml:space="preserve">améliore</w:t>
      </w:r>
      <w:r>
        <w:t xml:space="preserve"> cette activité enzymatique. </w:t>
      </w:r>
      <w:r/>
    </w:p>
    <w:p>
      <w:pPr>
        <w:pBdr/>
        <w:spacing/>
        <w:ind/>
        <w:jc w:val="both"/>
        <w:rPr/>
      </w:pPr>
      <w:r>
        <w:tab/>
        <w:t xml:space="preserve">On peut voir une </w:t>
      </w:r>
      <w:r>
        <w:rPr>
          <w:color w:val="2f5496"/>
        </w:rPr>
        <w:t xml:space="preserve">augmentation </w:t>
      </w:r>
      <w:r>
        <w:t xml:space="preserve">de </w:t>
      </w:r>
      <w:r>
        <w:rPr>
          <w:i/>
          <w:color w:val="c55911"/>
          <w:sz w:val="20"/>
          <w:szCs w:val="20"/>
        </w:rPr>
        <w:t xml:space="preserve">l’enzyme succinate déshydrogénase</w:t>
      </w:r>
      <w:r>
        <w:t xml:space="preserve"> (</w:t>
      </w:r>
      <w:r>
        <w:rPr>
          <w:color w:val="538135"/>
        </w:rPr>
        <w:t xml:space="preserve">SDH, complexe II de la chaîne respiratoire</w:t>
      </w:r>
      <w:r>
        <w:t xml:space="preserve">). A noter que, même si l’activité enzymatique continue de monter la VO</w:t>
      </w:r>
      <w:r>
        <w:rPr>
          <w:vertAlign w:val="subscript"/>
        </w:rPr>
        <w:t xml:space="preserve">2max</w:t>
      </w:r>
      <w:r>
        <w:t xml:space="preserve"> varie peu au cours des 2 derniers mois. Cela laisse supposer que </w:t>
      </w:r>
      <w:r>
        <w:rPr>
          <w:color w:val="c00000"/>
        </w:rPr>
        <w:t xml:space="preserve">VO</w:t>
      </w:r>
      <w:r>
        <w:rPr>
          <w:color w:val="c00000"/>
          <w:vertAlign w:val="subscript"/>
        </w:rPr>
        <w:t xml:space="preserve">2max</w:t>
      </w:r>
      <w:r>
        <w:rPr>
          <w:color w:val="c00000"/>
        </w:rPr>
        <w:t xml:space="preserve"> est plus influencée par la capacité du système circulatoire de transport de l’oxygène que par le potentiel oxydatif musculaire.</w:t>
      </w:r>
      <w:r/>
    </w:p>
    <w:p>
      <w:pPr>
        <w:pBdr/>
        <w:spacing/>
        <w:ind/>
        <w:jc w:val="both"/>
        <w:rPr/>
      </w:pPr>
      <w:r>
        <w:tab/>
        <w:t xml:space="preserve">L’entraînement aérobie augmente également l’activité de la </w:t>
      </w:r>
      <w:r>
        <w:rPr>
          <w:i/>
          <w:color w:val="c55911"/>
          <w:sz w:val="20"/>
          <w:szCs w:val="20"/>
        </w:rPr>
        <w:t xml:space="preserve">citrate-synthase</w:t>
      </w:r>
      <w:r>
        <w:t xml:space="preserve"> (</w:t>
      </w:r>
      <w:r>
        <w:rPr>
          <w:color w:val="538135"/>
        </w:rPr>
        <w:t xml:space="preserve">1</w:t>
      </w:r>
      <w:r>
        <w:rPr>
          <w:color w:val="538135"/>
          <w:vertAlign w:val="superscript"/>
        </w:rPr>
        <w:t xml:space="preserve">ère</w:t>
      </w:r>
      <w:r>
        <w:rPr>
          <w:color w:val="538135"/>
        </w:rPr>
        <w:t xml:space="preserve"> étape de Krebs</w:t>
      </w:r>
      <w:r>
        <w:t xml:space="preserve">). L’entraînement quotidien, même modéré, peut augmenter l’activité de SDH de </w:t>
      </w:r>
      <w:r>
        <w:rPr>
          <w:color w:val="538135"/>
        </w:rPr>
        <w:t xml:space="preserve">25%</w:t>
      </w:r>
      <w:r>
        <w:t xml:space="preserve"> par rapport à des sujets non entraînés. On peut monter même à une multiplication </w:t>
      </w:r>
      <w:r>
        <w:rPr>
          <w:color w:val="538135"/>
        </w:rPr>
        <w:t xml:space="preserve">par 2 ou 3 </w:t>
      </w:r>
      <w:r>
        <w:t xml:space="preserve">dans un </w:t>
      </w:r>
      <w:r>
        <w:rPr>
          <w:color w:val="2f5496"/>
        </w:rPr>
        <w:t xml:space="preserve">entraînement plus conséquent</w:t>
      </w:r>
      <w:r>
        <w:t xml:space="preserve">.</w:t>
      </w:r>
      <w:r/>
    </w:p>
    <w:p>
      <w:pPr>
        <w:pBdr/>
        <w:spacing/>
        <w:ind/>
        <w:jc w:val="both"/>
        <w:rPr>
          <w:color w:val="2f5496"/>
        </w:rPr>
      </w:pPr>
      <w:r>
        <w:tab/>
        <w:t xml:space="preserve">Une conséquence métabolique est </w:t>
      </w:r>
      <w:r>
        <w:rPr>
          <w:color w:val="c00000"/>
        </w:rPr>
        <w:t xml:space="preserve">donc l’épargne du glycogène. </w:t>
      </w:r>
      <w:r>
        <w:t xml:space="preserve">En effet, le muscle après entraînement utilisera </w:t>
      </w:r>
      <w:r>
        <w:rPr>
          <w:color w:val="c00000"/>
        </w:rPr>
        <w:t xml:space="preserve">plus de lipides </w:t>
      </w:r>
      <w:r>
        <w:t xml:space="preserve">que de glycogène pour </w:t>
      </w:r>
      <w:r>
        <w:rPr>
          <w:color w:val="2f5496"/>
        </w:rPr>
        <w:t xml:space="preserve">une même intensité.</w:t>
      </w:r>
      <w:r>
        <w:rPr>
          <w:color w:val="2f5496"/>
        </w:rPr>
      </w:r>
    </w:p>
    <w:p>
      <w:pPr>
        <w:pBdr/>
        <w:spacing/>
        <w:ind/>
        <w:jc w:val="both"/>
        <w:rPr>
          <w:color w:val="2f5496"/>
        </w:rPr>
      </w:pPr>
      <w:r>
        <w:rPr>
          <w:color w:val="2f5496"/>
        </w:rPr>
      </w:r>
      <w:r>
        <w:rPr>
          <w:color w:val="2f5496"/>
        </w:rPr>
      </w:r>
    </w:p>
    <w:p>
      <w:pPr>
        <w:pStyle w:val="717"/>
        <w:pBdr/>
        <w:spacing/>
        <w:ind/>
        <w:jc w:val="both"/>
        <w:rPr/>
      </w:pPr>
      <w:r>
        <w:t xml:space="preserve">Les adaptations métaboliques à l’entraînement aérobie</w:t>
      </w:r>
      <w:r/>
    </w:p>
    <w:p>
      <w:pPr>
        <w:pBdr/>
        <w:spacing/>
        <w:ind/>
        <w:jc w:val="both"/>
        <w:rPr/>
      </w:pPr>
      <w:r>
        <w:t xml:space="preserve">Trois variables liées :</w:t>
      </w:r>
      <w:r/>
    </w:p>
    <w:p>
      <w:pPr>
        <w:numPr>
          <w:ilvl w:val="0"/>
          <w:numId w:val="17"/>
        </w:numPr>
        <w:pBdr>
          <w:top w:val="none" w:color="000000" w:sz="4" w:space="0"/>
          <w:left w:val="none" w:color="000000" w:sz="4" w:space="0"/>
          <w:bottom w:val="none" w:color="000000" w:sz="4" w:space="0"/>
          <w:right w:val="none" w:color="000000" w:sz="4" w:space="0"/>
          <w:between w:val="none" w:color="000000" w:sz="4" w:space="0"/>
        </w:pBdr>
        <w:spacing w:after="0"/>
        <w:ind/>
        <w:jc w:val="both"/>
        <w:rPr/>
      </w:pPr>
      <w:r>
        <w:rPr>
          <w:color w:val="000000"/>
        </w:rPr>
        <w:t xml:space="preserve">Seuil lactique</w:t>
      </w:r>
      <w:r/>
    </w:p>
    <w:p>
      <w:pPr>
        <w:numPr>
          <w:ilvl w:val="0"/>
          <w:numId w:val="17"/>
        </w:numPr>
        <w:pBdr>
          <w:top w:val="none" w:color="000000" w:sz="4" w:space="0"/>
          <w:left w:val="none" w:color="000000" w:sz="4" w:space="0"/>
          <w:bottom w:val="none" w:color="000000" w:sz="4" w:space="0"/>
          <w:right w:val="none" w:color="000000" w:sz="4" w:space="0"/>
          <w:between w:val="none" w:color="000000" w:sz="4" w:space="0"/>
        </w:pBdr>
        <w:spacing w:after="0"/>
        <w:ind/>
        <w:jc w:val="both"/>
        <w:rPr/>
      </w:pPr>
      <w:r>
        <w:rPr>
          <w:color w:val="000000"/>
        </w:rPr>
        <w:t xml:space="preserve">Quotient respiratoire</w:t>
      </w:r>
      <w:r/>
    </w:p>
    <w:p>
      <w:pPr>
        <w:numPr>
          <w:ilvl w:val="0"/>
          <w:numId w:val="17"/>
        </w:numPr>
        <w:pBdr>
          <w:top w:val="none" w:color="000000" w:sz="4" w:space="0"/>
          <w:left w:val="none" w:color="000000" w:sz="4" w:space="0"/>
          <w:bottom w:val="none" w:color="000000" w:sz="4" w:space="0"/>
          <w:right w:val="none" w:color="000000" w:sz="4" w:space="0"/>
          <w:between w:val="none" w:color="000000" w:sz="4" w:space="0"/>
        </w:pBdr>
        <w:spacing/>
        <w:ind/>
        <w:jc w:val="both"/>
        <w:rPr/>
      </w:pPr>
      <w:r>
        <w:rPr>
          <w:color w:val="000000"/>
        </w:rPr>
        <w:t xml:space="preserve">Consommation d’oxygène</w:t>
      </w:r>
      <w:r>
        <mc:AlternateContent>
          <mc:Choice Requires="wpg">
            <w:drawing>
              <wp:anchor xmlns:wp="http://schemas.openxmlformats.org/drawingml/2006/wordprocessingDrawing" xmlns:wp14="http://schemas.microsoft.com/office/word/2010/wordprocessingDrawing" distT="0" distB="0" distL="114300" distR="114300" simplePos="0" relativeHeight="251661312" behindDoc="0" locked="0" layoutInCell="1" allowOverlap="1">
                <wp:simplePos x="0" y="0"/>
                <wp:positionH relativeFrom="column">
                  <wp:posOffset>3128333</wp:posOffset>
                </wp:positionH>
                <wp:positionV relativeFrom="paragraph">
                  <wp:posOffset>12029</wp:posOffset>
                </wp:positionV>
                <wp:extent cx="2907030" cy="2465705"/>
                <wp:effectExtent l="0" t="0" r="0" b="0"/>
                <wp:wrapSquare wrapText="bothSides"/>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ic:nvPr/>
                      </pic:nvPicPr>
                      <pic:blipFill>
                        <a:blip r:embed="rId20"/>
                        <a:stretch/>
                      </pic:blipFill>
                      <pic:spPr bwMode="auto">
                        <a:xfrm>
                          <a:off x="0" y="0"/>
                          <a:ext cx="2907030" cy="2465705"/>
                        </a:xfrm>
                        <a:prstGeom prst="rect">
                          <a:avLst/>
                        </a:prstGeom>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251661312;o:allowoverlap:true;o:allowincell:true;mso-position-horizontal-relative:text;margin-left:246.33pt;mso-position-horizontal:absolute;mso-position-vertical-relative:text;margin-top:0.95pt;mso-position-vertical:absolute;width:228.90pt;height:194.15pt;mso-wrap-distance-left:9.00pt;mso-wrap-distance-top:0.00pt;mso-wrap-distance-right:9.00pt;mso-wrap-distance-bottom:0.00pt;z-index:1;">
                <w10:wrap type="square"/>
                <v:imagedata r:id="rId20" o:title=""/>
                <o:lock v:ext="edit" rotation="t"/>
              </v:shape>
            </w:pict>
          </mc:Fallback>
        </mc:AlternateContent>
      </w:r>
      <w:r/>
    </w:p>
    <w:p>
      <w:pPr>
        <w:pBdr/>
        <w:spacing/>
        <w:ind/>
        <w:rPr/>
      </w:pPr>
      <w:r>
        <w:t xml:space="preserve">Pour étudier l’utilisation des substrats : calorimétrie indirecte (échange des gaz, permet d’avoir QR), marquage par isotopes stables, mais aussi via dosages plasmatiques ou de la micro dialyse in situ.</w:t>
      </w:r>
      <w:r/>
    </w:p>
    <w:p>
      <w:pPr>
        <w:pBdr/>
        <w:spacing/>
        <w:ind/>
        <w:rPr/>
      </w:pPr>
      <w:r>
        <w:t xml:space="preserve">Intensité de l’exercice qui augmente implique augmentation de l’utilisation des substrats glucidiques, </w:t>
      </w:r>
      <w:r>
        <w:rPr>
          <w:b/>
        </w:rPr>
        <w:t xml:space="preserve">musculaires</w:t>
      </w:r>
      <w:r>
        <w:t xml:space="preserve"> notamment (et pas plasmatiques).</w:t>
      </w:r>
      <w:r/>
    </w:p>
    <w:p>
      <w:pPr>
        <w:pStyle w:val="718"/>
        <w:pBdr/>
        <w:spacing/>
        <w:ind/>
        <w:rPr/>
      </w:pPr>
      <w:r>
        <w:t xml:space="preserve">Mesure des substrats</w:t>
      </w:r>
      <w:r/>
    </w:p>
    <w:p>
      <w:pPr>
        <w:pStyle w:val="719"/>
        <w:pBdr/>
        <w:spacing/>
        <w:ind/>
        <w:rPr/>
      </w:pPr>
      <w:r>
        <w:t xml:space="preserve">Isotopes stables</w:t>
      </w:r>
      <w:r/>
    </w:p>
    <w:p>
      <w:pPr>
        <w:pBdr/>
        <w:spacing/>
        <w:ind/>
        <w:rPr/>
      </w:pPr>
      <w:r>
        <w:t xml:space="preserve">Apport de molécules exogènes (traceurs) pour étudier l’utilisation des substrats. Les traceurs peuvent être : lipides, glucides, protéines, eau lourde. Après on mesure la spectrométrie de masse (en récupérant urines/gaz) et on a </w:t>
      </w:r>
      <w:r>
        <w:rPr>
          <w:b/>
        </w:rPr>
        <w:t xml:space="preserve">dépense énergétique</w:t>
      </w:r>
      <w:r>
        <w:t xml:space="preserve"> et utilisation des substrats (en fonction du traceur choisi).</w:t>
      </w:r>
      <w:r/>
    </w:p>
    <w:p>
      <w:pPr>
        <w:pStyle w:val="719"/>
        <w:pBdr/>
        <w:spacing/>
        <w:ind/>
        <w:rPr/>
      </w:pPr>
      <w:r>
        <w:t xml:space="preserve">Dosages plasmatiques</w:t>
      </w:r>
      <w:r/>
    </w:p>
    <w:p>
      <w:pPr>
        <w:pBdr/>
        <w:spacing/>
        <w:ind/>
        <w:rPr/>
      </w:pPr>
      <w:r>
        <w:t xml:space="preserve">Invasif, permet de mesurer la présence de différents substrats dans le sang (glucose, glycérol/acide gras…). On étude la différence artérioveineuse : indication indirecte de l’utilisation des </w:t>
      </w:r>
      <w:r>
        <w:t xml:space="preserve">subtrats</w:t>
      </w:r>
      <w:r>
        <w:t xml:space="preserve"> (glycérol plasmatique qui augmente peut refléter une augmentation de la mobilisation des lipides du tissu adipeux par lipolyse.)</w:t>
      </w:r>
      <w:r/>
    </w:p>
    <w:p>
      <w:pPr>
        <w:pStyle w:val="719"/>
        <w:pBdr/>
        <w:spacing/>
        <w:ind/>
        <w:rPr/>
      </w:pPr>
      <w:r>
        <w:t xml:space="preserve">Micro dialyse in situ</w:t>
      </w:r>
      <w:r/>
    </w:p>
    <w:p>
      <w:pPr>
        <w:pBdr/>
        <w:spacing/>
        <w:ind/>
        <w:rPr/>
      </w:pPr>
      <w:r>
        <w:t xml:space="preserve">Très invasif, permet de mesurer la présence de différe</w:t>
      </w:r>
      <w:r>
        <w:t xml:space="preserve">nts substrats dans le liquide interstitiel du tissu adipeux. Indication directe de la mobilisation des substrats du tissu adipeux (par ex, augmentation de la concentration de glycérol dans le dialysat reflète une augmentation de la lipolyse adipocytaire.) </w:t>
      </w:r>
      <w:r/>
    </w:p>
    <w:p>
      <w:pPr>
        <w:pStyle w:val="718"/>
        <w:pBdr/>
        <w:spacing/>
        <w:ind/>
        <w:jc w:val="both"/>
        <w:rPr>
          <w:highlight w:val="none"/>
        </w:rPr>
      </w:pPr>
      <w:r>
        <w:rPr>
          <w:highlight w:val="none"/>
        </w:rPr>
        <w:t xml:space="preserve">Le seuil lactique</w:t>
      </w:r>
      <w:r>
        <w:rPr>
          <w:highlight w:val="none"/>
        </w:rPr>
      </w:r>
    </w:p>
    <w:p>
      <w:pPr>
        <w:pBdr/>
        <w:spacing/>
        <w:ind/>
        <w:jc w:val="both"/>
        <w:rPr/>
      </w:pPr>
      <w:r>
        <w:tab/>
        <w:t xml:space="preserve">L’entraînement aérobie élève le niveau du seuil lactique. Le décalage du seuil vers la droite sur la courbe indique la possibilité de travailler à un pourcentage plus élevé de VO</w:t>
      </w:r>
      <w:r>
        <w:rPr>
          <w:vertAlign w:val="subscript"/>
        </w:rPr>
        <w:t xml:space="preserve">2max</w:t>
      </w:r>
      <w:r>
        <w:t xml:space="preserve"> avant que le lactate ne s’accumule dans le sang. </w:t>
      </w:r>
      <w:r/>
    </w:p>
    <w:p>
      <w:pPr>
        <w:pBdr/>
        <w:spacing/>
        <w:ind/>
        <w:jc w:val="both"/>
        <w:rPr/>
      </w:pPr>
      <w:r>
        <w:tab/>
        <w:t xml:space="preserve">Plus les sportifs sont entraînés en aérobie, plus faible est leur lactatémie pour un même niveau d’exercice. On a une augmentation de la clairance du lactate.</w:t>
      </w:r>
      <w:r/>
    </w:p>
    <w:p>
      <w:pPr>
        <w:pBdr/>
        <w:spacing/>
        <w:ind/>
        <w:jc w:val="both"/>
        <w:rPr/>
      </w:pPr>
      <w:r>
        <w:t xml:space="preserve">On peut les dénommer plutôt « seuil lactate », alors</w:t>
      </w:r>
      <w:r>
        <w:t xml:space="preserve"> on a, uniquement dans le sang</w:t>
      </w:r>
      <w:r>
        <w:t xml:space="preserve"> :</w:t>
      </w:r>
      <w:r/>
    </w:p>
    <w:p>
      <w:pPr>
        <w:pStyle w:val="735"/>
        <w:numPr>
          <w:ilvl w:val="0"/>
          <w:numId w:val="20"/>
        </w:numPr>
        <w:pBdr/>
        <w:spacing/>
        <w:ind/>
        <w:jc w:val="both"/>
        <w:rPr/>
      </w:pPr>
      <w:r>
        <w:t xml:space="preserve">Seuil d’apparition du lactate = SV1</w:t>
      </w:r>
      <w:r/>
    </w:p>
    <w:p>
      <w:pPr>
        <w:pStyle w:val="735"/>
        <w:numPr>
          <w:ilvl w:val="0"/>
          <w:numId w:val="20"/>
        </w:numPr>
        <w:pBdr/>
        <w:spacing/>
        <w:ind/>
        <w:jc w:val="both"/>
        <w:rPr/>
      </w:pPr>
      <w:r>
        <w:t xml:space="preserve">Seuil d’accumulation du lactate = SV2</w:t>
      </w:r>
      <w:r/>
    </w:p>
    <w:p>
      <w:pPr>
        <w:pStyle w:val="718"/>
        <w:pBdr/>
        <w:spacing/>
        <w:ind/>
        <w:rPr/>
      </w:pPr>
      <w:r>
        <w:t xml:space="preserve">Le quotient respiratoire</w:t>
      </w:r>
      <w:r/>
    </w:p>
    <w:p>
      <w:pPr>
        <w:pStyle w:val="719"/>
        <w:pBdr/>
        <w:spacing/>
        <w:ind/>
        <w:rPr/>
      </w:pPr>
      <w:r>
        <w:t xml:space="preserve">Définition</w:t>
      </w:r>
      <w:r/>
    </w:p>
    <w:p>
      <w:pPr>
        <w:pBdr/>
        <w:spacing/>
        <w:ind/>
        <w:rPr/>
      </w:pPr>
      <w:r>
        <w:t xml:space="preserve">La consommation d’oxygène lors du métabolisme est en fonction du type de substrat utilisé.</w:t>
      </w:r>
      <w:r/>
    </w:p>
    <w:tbl>
      <w:tblPr>
        <w:tblInd w:w="0" w:type="dxa"/>
        <w:tblW w:w="906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Style w:val="731"/>
      </w:tblPr>
      <w:tblGrid>
        <w:gridCol w:w="9062"/>
      </w:tblGrid>
      <w:tr>
        <w:trPr/>
        <w:tc>
          <w:tcPr>
            <w:shd w:val="clear" w:color="auto" w:fill="fbe5d5"/>
            <w:tcBorders>
              <w:top w:val="none" w:color="000000" w:sz="4" w:space="0"/>
              <w:left w:val="none" w:color="000000" w:sz="4" w:space="0"/>
              <w:bottom w:val="none" w:color="000000" w:sz="4" w:space="0"/>
              <w:right w:val="none" w:color="000000" w:sz="4" w:space="0"/>
            </w:tcBorders>
            <w:tcW w:w="9062" w:type="dxa"/>
            <w:textDirection w:val="lrTb"/>
            <w:noWrap w:val="false"/>
          </w:tcPr>
          <w:p>
            <w:pPr>
              <w:pBdr/>
              <w:spacing/>
              <w:ind/>
              <w:rPr/>
            </w:pPr>
            <w:r/>
            <w:r/>
          </w:p>
          <w:p>
            <w:pPr>
              <w:pBdr/>
              <w:spacing/>
              <w:ind/>
              <w:rPr>
                <w:b/>
              </w:rPr>
            </w:pPr>
            <w:r>
              <w:t xml:space="preserve">Le </w:t>
            </w:r>
            <w:r>
              <w:rPr>
                <w:b/>
              </w:rPr>
              <w:t xml:space="preserve">Quotient respiratoire : </w:t>
            </w:r>
            <m:oMath>
              <m:r>
                <w:rPr>
                  <w:rFonts w:ascii="Cambria Math" w:hAnsi="Cambria Math" w:eastAsia="Cambria Math" w:cs="Cambria Math"/>
                </w:rPr>
                <m:rPr/>
                <m:t>QR=</m:t>
              </m:r>
              <m:f>
                <m:fPr>
                  <m:ctrlPr>
                    <w:rPr>
                      <w:rFonts w:ascii="Cambria Math" w:hAnsi="Cambria Math" w:eastAsia="Cambria Math" w:cs="Cambria Math"/>
                    </w:rPr>
                  </m:ctrlPr>
                </m:fPr>
                <m:num>
                  <m:acc>
                    <m:accPr>
                      <m:chr m:val="̇"/>
                      <m:ctrlPr>
                        <w:rPr>
                          <w:rFonts w:ascii="Cambria Math" w:hAnsi="Cambria Math" w:eastAsia="Cambria Math" w:cs="Cambria Math"/>
                        </w:rPr>
                      </m:ctrlPr>
                    </m:accPr>
                    <m:e>
                      <m:r>
                        <w:rPr>
                          <w:rFonts w:ascii="Cambria Math" w:hAnsi="Cambria Math" w:eastAsia="Cambria Math" w:cs="Cambria Math"/>
                        </w:rPr>
                        <m:rPr/>
                        <m:t>V</m:t>
                      </m:r>
                    </m:e>
                  </m:acc>
                  <m:r>
                    <w:rPr>
                      <w:rFonts w:ascii="Cambria Math" w:hAnsi="Cambria Math" w:eastAsia="Cambria Math" w:cs="Cambria Math"/>
                    </w:rPr>
                    <m:rPr/>
                    <m:t>C</m:t>
                  </m:r>
                  <m:sSub>
                    <m:sSubPr>
                      <m:ctrlPr>
                        <w:rPr>
                          <w:rFonts w:ascii="Cambria Math" w:hAnsi="Cambria Math" w:eastAsia="Cambria Math" w:cs="Cambria Math"/>
                        </w:rPr>
                      </m:ctrlPr>
                    </m:sSubPr>
                    <m:e>
                      <m:r>
                        <w:rPr>
                          <w:rFonts w:ascii="Cambria Math" w:hAnsi="Cambria Math" w:eastAsia="Cambria Math" w:cs="Cambria Math"/>
                        </w:rPr>
                        <m:rPr/>
                        <m:t>O</m:t>
                      </m:r>
                    </m:e>
                    <m:sub>
                      <m:r>
                        <w:rPr>
                          <w:rFonts w:ascii="Cambria Math" w:hAnsi="Cambria Math" w:eastAsia="Cambria Math" w:cs="Cambria Math"/>
                        </w:rPr>
                        <m:rPr/>
                        <m:t>2</m:t>
                      </m:r>
                    </m:sub>
                  </m:sSub>
                </m:num>
                <m:den>
                  <m:acc>
                    <m:accPr>
                      <m:chr m:val="̇"/>
                      <m:ctrlPr>
                        <w:rPr>
                          <w:rFonts w:ascii="Cambria Math" w:hAnsi="Cambria Math" w:eastAsia="Cambria Math" w:cs="Cambria Math"/>
                        </w:rPr>
                      </m:ctrlPr>
                    </m:accPr>
                    <m:e>
                      <m:r>
                        <w:rPr>
                          <w:rFonts w:ascii="Cambria Math" w:hAnsi="Cambria Math" w:eastAsia="Cambria Math" w:cs="Cambria Math"/>
                        </w:rPr>
                        <m:rPr/>
                        <m:t>V</m:t>
                      </m:r>
                    </m:e>
                  </m:acc>
                  <m:sSub>
                    <m:sSubPr>
                      <m:ctrlPr>
                        <w:rPr>
                          <w:rFonts w:ascii="Cambria Math" w:hAnsi="Cambria Math" w:eastAsia="Cambria Math" w:cs="Cambria Math"/>
                        </w:rPr>
                      </m:ctrlPr>
                    </m:sSubPr>
                    <m:e>
                      <m:r>
                        <w:rPr>
                          <w:rFonts w:ascii="Cambria Math" w:hAnsi="Cambria Math" w:eastAsia="Cambria Math" w:cs="Cambria Math"/>
                        </w:rPr>
                        <m:rPr/>
                        <m:t>O</m:t>
                      </m:r>
                    </m:e>
                    <m:sub>
                      <m:r>
                        <w:rPr>
                          <w:rFonts w:ascii="Cambria Math" w:hAnsi="Cambria Math" w:eastAsia="Cambria Math" w:cs="Cambria Math"/>
                        </w:rPr>
                        <m:rPr/>
                        <m:t>2</m:t>
                      </m:r>
                    </m:sub>
                  </m:sSub>
                </m:den>
              </m:f>
            </m:oMath>
            <w:r/>
            <w:r>
              <w:rPr>
                <w:b/>
              </w:rPr>
            </w:r>
          </w:p>
          <w:p>
            <w:pPr>
              <w:pBdr/>
              <w:spacing/>
              <w:ind/>
              <w:rPr>
                <w:b/>
              </w:rPr>
            </w:pPr>
            <w:r>
              <w:t xml:space="preserve">Dans le cas des glucides : </w:t>
            </w:r>
            <m:oMath>
              <m:r>
                <w:rPr>
                  <w:rFonts w:ascii="Cambria Math" w:hAnsi="Cambria Math" w:eastAsia="Cambria Math" w:cs="Cambria Math"/>
                </w:rPr>
                <m:rPr/>
                <m:t>QR=1</m:t>
              </m:r>
            </m:oMath>
            <w:r/>
            <w:r>
              <w:rPr>
                <w:b/>
              </w:rPr>
            </w:r>
          </w:p>
          <w:p>
            <w:pPr>
              <w:pBdr/>
              <w:spacing/>
              <w:ind/>
              <w:rPr>
                <w:b/>
                <w:i/>
                <w:color w:val="538135"/>
              </w:rPr>
            </w:pPr>
            <w:r>
              <w:rPr>
                <w:b/>
                <w:i/>
                <w:color w:val="538135"/>
              </w:rPr>
              <w:t xml:space="preserve">Ex du glucose : </w:t>
            </w:r>
            <m:oMath>
              <m:r>
                <w:rPr>
                  <w:rFonts w:ascii="Cambria Math" w:hAnsi="Cambria Math" w:eastAsia="Cambria Math" w:cs="Cambria Math"/>
                  <w:color w:val="538135"/>
                </w:rPr>
                <m:rPr/>
                <m:t>6</m:t>
              </m:r>
              <m:sSub>
                <m:sSubPr>
                  <m:ctrlPr>
                    <w:rPr>
                      <w:rFonts w:ascii="Cambria Math" w:hAnsi="Cambria Math" w:eastAsia="Cambria Math" w:cs="Cambria Math"/>
                      <w:color w:val="538135"/>
                    </w:rPr>
                  </m:ctrlPr>
                </m:sSubPr>
                <m:e>
                  <m:r>
                    <w:rPr>
                      <w:rFonts w:ascii="Cambria Math" w:hAnsi="Cambria Math" w:eastAsia="Cambria Math" w:cs="Cambria Math"/>
                      <w:color w:val="538135"/>
                    </w:rPr>
                    <m:rPr/>
                    <m:t>O</m:t>
                  </m:r>
                </m:e>
                <m:sub>
                  <m:r>
                    <w:rPr>
                      <w:rFonts w:ascii="Cambria Math" w:hAnsi="Cambria Math" w:eastAsia="Cambria Math" w:cs="Cambria Math"/>
                      <w:color w:val="538135"/>
                    </w:rPr>
                    <m:rPr/>
                    <m:t>2</m:t>
                  </m:r>
                </m:sub>
              </m:sSub>
              <m:r>
                <w:rPr>
                  <w:rFonts w:ascii="Cambria Math" w:hAnsi="Cambria Math" w:eastAsia="Cambria Math" w:cs="Cambria Math"/>
                  <w:color w:val="538135"/>
                </w:rPr>
                <m:rPr/>
                <m:t>+</m:t>
              </m:r>
              <m:sSub>
                <m:sSubPr>
                  <m:ctrlPr>
                    <w:rPr>
                      <w:rFonts w:ascii="Cambria Math" w:hAnsi="Cambria Math" w:eastAsia="Cambria Math" w:cs="Cambria Math"/>
                      <w:color w:val="538135"/>
                    </w:rPr>
                  </m:ctrlPr>
                </m:sSubPr>
                <m:e>
                  <m:r>
                    <w:rPr>
                      <w:rFonts w:ascii="Cambria Math" w:hAnsi="Cambria Math" w:eastAsia="Cambria Math" w:cs="Cambria Math"/>
                      <w:color w:val="538135"/>
                    </w:rPr>
                    <m:rPr/>
                    <m:t>C</m:t>
                  </m:r>
                </m:e>
                <m:sub>
                  <m:r>
                    <w:rPr>
                      <w:rFonts w:ascii="Cambria Math" w:hAnsi="Cambria Math" w:eastAsia="Cambria Math" w:cs="Cambria Math"/>
                      <w:color w:val="538135"/>
                    </w:rPr>
                    <m:rPr/>
                    <m:t>6</m:t>
                  </m:r>
                </m:sub>
              </m:sSub>
              <m:sSub>
                <m:sSubPr>
                  <m:ctrlPr>
                    <w:rPr>
                      <w:rFonts w:ascii="Cambria Math" w:hAnsi="Cambria Math" w:eastAsia="Cambria Math" w:cs="Cambria Math"/>
                      <w:color w:val="538135"/>
                    </w:rPr>
                  </m:ctrlPr>
                </m:sSubPr>
                <m:e>
                  <m:r>
                    <w:rPr>
                      <w:rFonts w:ascii="Cambria Math" w:hAnsi="Cambria Math" w:eastAsia="Cambria Math" w:cs="Cambria Math"/>
                      <w:color w:val="538135"/>
                    </w:rPr>
                    <m:rPr/>
                    <m:t>H</m:t>
                  </m:r>
                </m:e>
                <m:sub>
                  <m:r>
                    <w:rPr>
                      <w:rFonts w:ascii="Cambria Math" w:hAnsi="Cambria Math" w:eastAsia="Cambria Math" w:cs="Cambria Math"/>
                      <w:color w:val="538135"/>
                    </w:rPr>
                    <m:rPr/>
                    <m:t>2</m:t>
                  </m:r>
                </m:sub>
              </m:sSub>
              <m:sSub>
                <m:sSubPr>
                  <m:ctrlPr>
                    <w:rPr>
                      <w:rFonts w:ascii="Cambria Math" w:hAnsi="Cambria Math" w:eastAsia="Cambria Math" w:cs="Cambria Math"/>
                      <w:color w:val="538135"/>
                    </w:rPr>
                  </m:ctrlPr>
                </m:sSubPr>
                <m:e>
                  <m:r>
                    <w:rPr>
                      <w:rFonts w:ascii="Cambria Math" w:hAnsi="Cambria Math" w:eastAsia="Cambria Math" w:cs="Cambria Math"/>
                      <w:color w:val="538135"/>
                    </w:rPr>
                    <m:rPr/>
                    <m:t>O</m:t>
                  </m:r>
                </m:e>
                <m:sub>
                  <m:r>
                    <w:rPr>
                      <w:rFonts w:ascii="Cambria Math" w:hAnsi="Cambria Math" w:eastAsia="Cambria Math" w:cs="Cambria Math"/>
                      <w:color w:val="538135"/>
                    </w:rPr>
                    <m:rPr/>
                    <m:t>6</m:t>
                  </m:r>
                </m:sub>
              </m:sSub>
              <m:r>
                <w:rPr>
                  <w:rFonts w:ascii="Cambria Math" w:hAnsi="Cambria Math" w:eastAsia="Cambria Math" w:cs="Cambria Math"/>
                  <w:color w:val="538135"/>
                </w:rPr>
                <m:rPr/>
                <m:t>→6C</m:t>
              </m:r>
              <m:sSub>
                <m:sSubPr>
                  <m:ctrlPr>
                    <w:rPr>
                      <w:rFonts w:ascii="Cambria Math" w:hAnsi="Cambria Math" w:eastAsia="Cambria Math" w:cs="Cambria Math"/>
                      <w:color w:val="538135"/>
                    </w:rPr>
                  </m:ctrlPr>
                </m:sSubPr>
                <m:e>
                  <m:r>
                    <w:rPr>
                      <w:rFonts w:ascii="Cambria Math" w:hAnsi="Cambria Math" w:eastAsia="Cambria Math" w:cs="Cambria Math"/>
                      <w:color w:val="538135"/>
                    </w:rPr>
                    <m:rPr/>
                    <m:t>O</m:t>
                  </m:r>
                </m:e>
                <m:sub>
                  <m:r>
                    <w:rPr>
                      <w:rFonts w:ascii="Cambria Math" w:hAnsi="Cambria Math" w:eastAsia="Cambria Math" w:cs="Cambria Math"/>
                      <w:color w:val="538135"/>
                    </w:rPr>
                    <m:rPr/>
                    <m:t>2</m:t>
                  </m:r>
                </m:sub>
              </m:sSub>
              <m:r>
                <w:rPr>
                  <w:rFonts w:ascii="Cambria Math" w:hAnsi="Cambria Math" w:eastAsia="Cambria Math" w:cs="Cambria Math"/>
                  <w:color w:val="538135"/>
                </w:rPr>
                <m:rPr/>
                <m:t>+6</m:t>
              </m:r>
              <m:sSub>
                <m:sSubPr>
                  <m:ctrlPr>
                    <w:rPr>
                      <w:rFonts w:ascii="Cambria Math" w:hAnsi="Cambria Math" w:eastAsia="Cambria Math" w:cs="Cambria Math"/>
                      <w:color w:val="538135"/>
                    </w:rPr>
                  </m:ctrlPr>
                </m:sSubPr>
                <m:e>
                  <m:r>
                    <w:rPr>
                      <w:rFonts w:ascii="Cambria Math" w:hAnsi="Cambria Math" w:eastAsia="Cambria Math" w:cs="Cambria Math"/>
                      <w:color w:val="538135"/>
                    </w:rPr>
                    <m:rPr/>
                    <m:t>H</m:t>
                  </m:r>
                </m:e>
                <m:sub>
                  <m:r>
                    <w:rPr>
                      <w:rFonts w:ascii="Cambria Math" w:hAnsi="Cambria Math" w:eastAsia="Cambria Math" w:cs="Cambria Math"/>
                      <w:color w:val="538135"/>
                    </w:rPr>
                    <m:rPr/>
                    <m:t>2</m:t>
                  </m:r>
                </m:sub>
              </m:sSub>
              <m:r>
                <w:rPr>
                  <w:rFonts w:ascii="Cambria Math" w:hAnsi="Cambria Math" w:eastAsia="Cambria Math" w:cs="Cambria Math"/>
                  <w:color w:val="538135"/>
                </w:rPr>
                <m:rPr/>
                <m:t>O+32ATP⇒QR=</m:t>
              </m:r>
              <m:f>
                <m:fPr>
                  <m:ctrlPr>
                    <w:rPr>
                      <w:rFonts w:ascii="Cambria Math" w:hAnsi="Cambria Math" w:eastAsia="Cambria Math" w:cs="Cambria Math"/>
                      <w:color w:val="538135"/>
                    </w:rPr>
                  </m:ctrlPr>
                </m:fPr>
                <m:num>
                  <m:r>
                    <w:rPr>
                      <w:rFonts w:ascii="Cambria Math" w:hAnsi="Cambria Math" w:eastAsia="Cambria Math" w:cs="Cambria Math"/>
                      <w:color w:val="538135"/>
                    </w:rPr>
                    <m:rPr/>
                    <m:t>6C</m:t>
                  </m:r>
                  <m:sSub>
                    <m:sSubPr>
                      <m:ctrlPr>
                        <w:rPr>
                          <w:rFonts w:ascii="Cambria Math" w:hAnsi="Cambria Math" w:eastAsia="Cambria Math" w:cs="Cambria Math"/>
                          <w:color w:val="538135"/>
                        </w:rPr>
                      </m:ctrlPr>
                    </m:sSubPr>
                    <m:e>
                      <m:r>
                        <w:rPr>
                          <w:rFonts w:ascii="Cambria Math" w:hAnsi="Cambria Math" w:eastAsia="Cambria Math" w:cs="Cambria Math"/>
                          <w:color w:val="538135"/>
                        </w:rPr>
                        <m:rPr/>
                        <m:t>O</m:t>
                      </m:r>
                    </m:e>
                    <m:sub>
                      <m:r>
                        <w:rPr>
                          <w:rFonts w:ascii="Cambria Math" w:hAnsi="Cambria Math" w:eastAsia="Cambria Math" w:cs="Cambria Math"/>
                          <w:color w:val="538135"/>
                        </w:rPr>
                        <m:rPr/>
                        <m:t>2</m:t>
                      </m:r>
                    </m:sub>
                  </m:sSub>
                </m:num>
                <m:den>
                  <m:r>
                    <w:rPr>
                      <w:rFonts w:ascii="Cambria Math" w:hAnsi="Cambria Math" w:eastAsia="Cambria Math" w:cs="Cambria Math"/>
                      <w:color w:val="538135"/>
                    </w:rPr>
                    <m:rPr/>
                    <m:t>6</m:t>
                  </m:r>
                  <m:sSub>
                    <m:sSubPr>
                      <m:ctrlPr>
                        <w:rPr>
                          <w:rFonts w:ascii="Cambria Math" w:hAnsi="Cambria Math" w:eastAsia="Cambria Math" w:cs="Cambria Math"/>
                          <w:color w:val="538135"/>
                        </w:rPr>
                      </m:ctrlPr>
                    </m:sSubPr>
                    <m:e>
                      <m:r>
                        <w:rPr>
                          <w:rFonts w:ascii="Cambria Math" w:hAnsi="Cambria Math" w:eastAsia="Cambria Math" w:cs="Cambria Math"/>
                          <w:color w:val="538135"/>
                        </w:rPr>
                        <m:rPr/>
                        <m:t>O</m:t>
                      </m:r>
                    </m:e>
                    <m:sub>
                      <m:r>
                        <w:rPr>
                          <w:rFonts w:ascii="Cambria Math" w:hAnsi="Cambria Math" w:eastAsia="Cambria Math" w:cs="Cambria Math"/>
                          <w:color w:val="538135"/>
                        </w:rPr>
                        <m:rPr/>
                        <m:t>2</m:t>
                      </m:r>
                    </m:sub>
                  </m:sSub>
                </m:den>
              </m:f>
              <m:r>
                <w:rPr>
                  <w:rFonts w:ascii="Cambria Math" w:hAnsi="Cambria Math" w:eastAsia="Cambria Math" w:cs="Cambria Math"/>
                  <w:color w:val="538135"/>
                </w:rPr>
                <m:rPr/>
                <m:t>=1</m:t>
              </m:r>
            </m:oMath>
            <w:r/>
            <w:r>
              <w:rPr>
                <w:b/>
                <w:i/>
                <w:color w:val="538135"/>
              </w:rPr>
            </w:r>
          </w:p>
          <w:p>
            <w:pPr>
              <w:pBdr/>
              <w:spacing/>
              <w:ind/>
              <w:rPr>
                <w:i/>
                <w:color w:val="538135"/>
              </w:rPr>
            </w:pPr>
            <w:r>
              <w:rPr>
                <w:i/>
                <w:color w:val="538135"/>
              </w:rPr>
            </w:r>
            <w:r>
              <w:rPr>
                <w:i/>
                <w:color w:val="538135"/>
              </w:rPr>
            </w:r>
          </w:p>
          <w:p>
            <w:pPr>
              <w:pBdr/>
              <w:spacing/>
              <w:ind/>
              <w:rPr/>
            </w:pPr>
            <w:r>
              <w:rPr>
                <w:b/>
              </w:rPr>
              <w:t xml:space="preserve">QR au repos</w:t>
            </w:r>
            <w:r>
              <w:t xml:space="preserve"> : 0.78 à 0.80</w:t>
            </w:r>
            <w:r/>
          </w:p>
          <w:p>
            <w:pPr>
              <w:pBdr/>
              <w:spacing/>
              <w:ind/>
              <w:rPr/>
            </w:pPr>
            <w:r/>
            <w:r/>
          </w:p>
        </w:tc>
      </w:tr>
    </w:tbl>
    <w:p>
      <w:pPr>
        <w:pBdr/>
        <w:spacing/>
        <w:ind/>
        <w:rPr/>
      </w:pPr>
      <w:r>
        <w:t xml:space="preserve">On se rend compte que les lipides fournissent plus d’énergie mais il faut davantage d’oxygène (QR &lt; 1)</w:t>
      </w:r>
      <w:r/>
    </w:p>
    <w:p>
      <w:pPr>
        <w:pBdr/>
        <w:spacing/>
        <w:ind/>
        <w:rPr/>
      </w:pPr>
      <w:r>
        <w:t xml:space="preserve">Grâce à une table on peut alors retrouver la quantité de calorie libérée par chaque litre d’oxygène :</w:t>
      </w:r>
      <w:r/>
    </w:p>
    <w:p>
      <w:pPr>
        <w:numPr>
          <w:ilvl w:val="0"/>
          <w:numId w:val="18"/>
        </w:numPr>
        <w:pBdr>
          <w:top w:val="none" w:color="000000" w:sz="4" w:space="0"/>
          <w:left w:val="none" w:color="000000" w:sz="4" w:space="0"/>
          <w:bottom w:val="none" w:color="000000" w:sz="4" w:space="0"/>
          <w:right w:val="none" w:color="000000" w:sz="4" w:space="0"/>
          <w:between w:val="none" w:color="000000" w:sz="4" w:space="0"/>
        </w:pBdr>
        <w:spacing w:after="0"/>
        <w:ind/>
        <w:rPr/>
      </w:pPr>
      <w:r>
        <w:rPr>
          <w:color w:val="000000"/>
        </w:rPr>
        <w:t xml:space="preserve">Pour un QR de 1 (uniquement glucide) 5,05 kcal.L</w:t>
      </w:r>
      <w:r>
        <w:rPr>
          <w:color w:val="000000"/>
          <w:vertAlign w:val="superscript"/>
        </w:rPr>
        <w:t xml:space="preserve">-1</w:t>
      </w:r>
      <w:r>
        <w:rPr>
          <w:color w:val="000000"/>
        </w:rPr>
        <w:t xml:space="preserve">O</w:t>
      </w:r>
      <w:r>
        <w:rPr>
          <w:color w:val="000000"/>
          <w:vertAlign w:val="subscript"/>
        </w:rPr>
        <w:t xml:space="preserve">2</w:t>
      </w:r>
      <w:r/>
    </w:p>
    <w:p>
      <w:pPr>
        <w:numPr>
          <w:ilvl w:val="0"/>
          <w:numId w:val="18"/>
        </w:numPr>
        <w:pBdr>
          <w:top w:val="none" w:color="000000" w:sz="4" w:space="0"/>
          <w:left w:val="none" w:color="000000" w:sz="4" w:space="0"/>
          <w:bottom w:val="none" w:color="000000" w:sz="4" w:space="0"/>
          <w:right w:val="none" w:color="000000" w:sz="4" w:space="0"/>
          <w:between w:val="none" w:color="000000" w:sz="4" w:space="0"/>
        </w:pBdr>
        <w:spacing/>
        <w:ind/>
        <w:rPr/>
      </w:pPr>
      <w:r>
        <w:rPr>
          <w:color w:val="000000"/>
        </w:rPr>
        <w:t xml:space="preserve">Pour un QR de 0,7 4,69 kcal. L</w:t>
      </w:r>
      <w:r>
        <w:rPr>
          <w:color w:val="000000"/>
          <w:vertAlign w:val="superscript"/>
        </w:rPr>
        <w:t xml:space="preserve">-1</w:t>
      </w:r>
      <w:r>
        <w:rPr>
          <w:color w:val="000000"/>
        </w:rPr>
        <w:t xml:space="preserve">O</w:t>
      </w:r>
      <w:r>
        <w:rPr>
          <w:color w:val="000000"/>
          <w:vertAlign w:val="subscript"/>
        </w:rPr>
        <w:t xml:space="preserve">2</w:t>
      </w:r>
      <w:r/>
    </w:p>
    <w:p>
      <w:pPr>
        <w:pStyle w:val="719"/>
        <w:pBdr/>
        <w:spacing/>
        <w:ind/>
        <w:rPr/>
      </w:pPr>
      <w:r>
        <w:t xml:space="preserve">Après l’entraînement aérobie</w:t>
      </w:r>
      <w:r/>
    </w:p>
    <w:p>
      <w:pPr>
        <w:pBdr/>
        <w:spacing/>
        <w:ind/>
        <w:rPr/>
      </w:pPr>
      <w:r>
        <w:t xml:space="preserve">On peut voir après un entraînement aérobie que le QR s’abaisse à l’exercice sous-maximal tant en valeur absolue que relative. Cela témoigne d’une meilleure utilisation des acides gras libres plutôt que des glucides.</w:t>
      </w:r>
      <w:r/>
    </w:p>
    <w:p>
      <w:pPr>
        <w:pStyle w:val="718"/>
        <w:pBdr/>
        <w:spacing/>
        <w:ind/>
        <w:rPr/>
      </w:pPr>
      <w:r>
        <w:t xml:space="preserve">La consommation d’oxygène au repos et à l’exercice sous maximal</w:t>
      </w:r>
      <w:r/>
    </w:p>
    <w:p>
      <w:pPr>
        <w:pBdr/>
        <w:spacing/>
        <w:ind/>
        <w:rPr/>
      </w:pPr>
      <w:r>
        <w:tab/>
        <w:t xml:space="preserve">La consommation d’oxygène au repos après un entraînement en endurance reste inch</w:t>
      </w:r>
      <w:r>
        <w:t xml:space="preserve">angée. Lors d’un exercice sous maximal, on peut soit observer une baisse légère (3,5%) avec une baisse concomitante du débit cardiaque. Mais cette légère baisse n’est pas toujours retrouvée, peut être expliquée par une amélioration de l’économie de course.</w:t>
      </w:r>
      <w:r/>
    </w:p>
    <w:p>
      <w:pPr>
        <w:pStyle w:val="718"/>
        <w:pBdr/>
        <w:spacing/>
        <w:ind/>
        <w:rPr/>
      </w:pPr>
      <w:r>
        <w:t xml:space="preserve">La consommation maximale d’oxygène</w:t>
      </w:r>
      <w:r/>
    </w:p>
    <w:p>
      <w:pPr>
        <w:pBdr/>
        <w:spacing/>
        <w:ind/>
        <w:rPr/>
      </w:pPr>
      <w:r>
        <w:tab/>
        <w:t xml:space="preserve">VO</w:t>
      </w:r>
      <w:r>
        <w:rPr>
          <w:vertAlign w:val="subscript"/>
        </w:rPr>
        <w:t xml:space="preserve">2max</w:t>
      </w:r>
      <w:r>
        <w:t xml:space="preserve"> est le meilleur indicateur de l’aptitude cardiorespiratoire à l’exercice aérobie. On peut s’attendre à un gain de 15 à 20% en 6 mois pour une personne débutante. </w:t>
      </w:r>
      <w:r/>
    </w:p>
    <w:p>
      <w:pPr>
        <w:pStyle w:val="717"/>
        <w:pBdr/>
        <w:spacing/>
        <w:ind/>
        <w:rPr/>
      </w:pPr>
      <w:r>
        <w:t xml:space="preserve">Conclusion</w:t>
      </w:r>
      <w:r/>
    </w:p>
    <w:p>
      <w:pPr>
        <w:pBdr/>
        <w:spacing/>
        <w:ind/>
        <w:rPr/>
      </w:pPr>
      <w:r>
        <mc:AlternateContent>
          <mc:Choice Requires="wpg">
            <w:drawing>
              <wp:inline xmlns:wp="http://schemas.openxmlformats.org/drawingml/2006/wordprocessingDrawing" distT="0" distB="0" distL="0" distR="0">
                <wp:extent cx="5760720" cy="3880485"/>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ic:nvPr/>
                      </pic:nvPicPr>
                      <pic:blipFill>
                        <a:blip r:embed="rId21"/>
                        <a:stretch/>
                      </pic:blipFill>
                      <pic:spPr bwMode="auto">
                        <a:xfrm>
                          <a:off x="0" y="0"/>
                          <a:ext cx="5760720" cy="3880485"/>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53.60pt;height:305.55pt;mso-wrap-distance-left:0.00pt;mso-wrap-distance-top:0.00pt;mso-wrap-distance-right:0.00pt;mso-wrap-distance-bottom:0.00pt;z-index:1;">
                <v:imagedata r:id="rId21" o:title=""/>
                <o:lock v:ext="edit" rotation="t"/>
              </v:shape>
            </w:pict>
          </mc:Fallback>
        </mc:AlternateContent>
      </w:r>
      <w:r/>
    </w:p>
    <w:p>
      <w:pPr>
        <w:pStyle w:val="717"/>
        <w:pBdr/>
        <w:spacing/>
        <w:ind/>
        <w:rPr/>
      </w:pPr>
      <w:r>
        <w:t xml:space="preserve">Les adaptations à l’entraînement anaérobie</w:t>
      </w:r>
      <w:r/>
    </w:p>
    <w:p>
      <w:pPr>
        <w:pStyle w:val="718"/>
        <w:pBdr/>
        <w:spacing/>
        <w:ind/>
        <w:rPr/>
      </w:pPr>
      <w:r>
        <w:t xml:space="preserve">Amélioration de la puissance et de la capacité anaérobie</w:t>
      </w:r>
      <w:r/>
    </w:p>
    <w:p>
      <w:pPr>
        <w:pBdr/>
        <w:spacing/>
        <w:ind/>
        <w:rPr/>
      </w:pPr>
      <w:r>
        <w:tab/>
        <w:t xml:space="preserve">Pas de meilleure méthode pour prédire le potentiel anaérobie comme la VO</w:t>
      </w:r>
      <w:r>
        <w:rPr>
          <w:vertAlign w:val="subscript"/>
        </w:rPr>
        <w:t xml:space="preserve">2max</w:t>
      </w:r>
      <w:r>
        <w:t xml:space="preserve"> en aérobie. On peut citer le test de Wingate : pédaler le plus vite possible pendant 30s contre une charge donner. On observe le pic de puissance (entre 5 et 10s souvent), la puissance moyenne et le travail total (Puissance moyenne * 30s)</w:t>
      </w:r>
      <w:r/>
    </w:p>
    <w:p>
      <w:pPr>
        <w:pBdr/>
        <w:spacing/>
        <w:ind/>
        <w:rPr/>
      </w:pPr>
      <w:r>
        <w:tab/>
        <w:t xml:space="preserve">Le pic de puissance est un index de la puissance maximale anaérobie, alors que la puissance moyenne et le travail total de la capacité maximale anaérobie.</w:t>
      </w:r>
      <w:r/>
    </w:p>
    <w:p>
      <w:pPr>
        <w:pStyle w:val="718"/>
        <w:pBdr/>
        <w:spacing/>
        <w:ind/>
        <w:rPr/>
      </w:pPr>
      <w:r>
        <w:t xml:space="preserve">Adaptations musculaires à l’entrainement anaérobie</w:t>
      </w:r>
      <w:r/>
    </w:p>
    <w:p>
      <w:pPr>
        <w:numPr>
          <w:ilvl w:val="0"/>
          <w:numId w:val="3"/>
        </w:numPr>
        <w:pBdr>
          <w:top w:val="none" w:color="000000" w:sz="4" w:space="0"/>
          <w:left w:val="none" w:color="000000" w:sz="4" w:space="0"/>
          <w:bottom w:val="none" w:color="000000" w:sz="4" w:space="0"/>
          <w:right w:val="none" w:color="000000" w:sz="4" w:space="0"/>
          <w:between w:val="none" w:color="000000" w:sz="4" w:space="0"/>
        </w:pBdr>
        <w:spacing w:after="0"/>
        <w:ind/>
        <w:rPr/>
      </w:pPr>
      <w:r>
        <w:rPr>
          <w:color w:val="000000"/>
        </w:rPr>
        <w:t xml:space="preserve">Augmentation de la surface de section des fibres de type IIa et IIx (I aussi mais moins)</w:t>
      </w:r>
      <w:r/>
    </w:p>
    <w:p>
      <w:pPr>
        <w:numPr>
          <w:ilvl w:val="0"/>
          <w:numId w:val="3"/>
        </w:numPr>
        <w:pBdr>
          <w:top w:val="none" w:color="000000" w:sz="4" w:space="0"/>
          <w:left w:val="none" w:color="000000" w:sz="4" w:space="0"/>
          <w:bottom w:val="none" w:color="000000" w:sz="4" w:space="0"/>
          <w:right w:val="none" w:color="000000" w:sz="4" w:space="0"/>
          <w:between w:val="none" w:color="000000" w:sz="4" w:space="0"/>
        </w:pBdr>
        <w:spacing/>
        <w:ind/>
        <w:rPr/>
      </w:pPr>
      <w:r>
        <w:rPr>
          <w:color w:val="000000"/>
        </w:rPr>
        <w:t xml:space="preserve">Diminution du % de fibres de type I au profit des II (surtout IIa)</w:t>
      </w:r>
      <w:r/>
    </w:p>
    <w:p>
      <w:pPr>
        <w:pStyle w:val="718"/>
        <w:pBdr/>
        <w:spacing/>
        <w:ind/>
        <w:rPr/>
      </w:pPr>
      <w:r>
        <w:t xml:space="preserve">Adaptations métaboliques à l’entraînement anaérobie</w:t>
      </w:r>
      <w:r/>
    </w:p>
    <w:p>
      <w:pPr>
        <w:pStyle w:val="719"/>
        <w:pBdr/>
        <w:spacing/>
        <w:ind/>
        <w:rPr/>
      </w:pPr>
      <w:r>
        <w:t xml:space="preserve">Système ATP-PCr</w:t>
      </w:r>
      <w:r/>
    </w:p>
    <w:p>
      <w:pPr>
        <w:pBdr/>
        <w:spacing/>
        <w:ind w:firstLine="708"/>
        <w:rPr/>
      </w:pPr>
      <w:r>
        <w:t xml:space="preserve">Il semblerait que pour améliorer le taux d’activité de la créatine kinase, des exercices de 30s seraient</w:t>
      </w:r>
      <w:r>
        <w:t xml:space="preserve"> plus efficaces que de 6s. Pourtant, les gains en force sur les deux types d’exercices sont similaires : 6s impliquerait alors plutôt dans le développement de la force musculaire, alors que 30s a réussi à améliorer le taux d’activité de la créatine kinase.</w:t>
      </w:r>
      <w:r/>
    </w:p>
    <w:p>
      <w:pPr>
        <w:pStyle w:val="719"/>
        <w:pBdr/>
        <w:spacing/>
        <w:ind/>
        <w:rPr/>
      </w:pPr>
      <w:r>
        <w:t xml:space="preserve">système glycolytique</w:t>
      </w:r>
      <w:r/>
    </w:p>
    <w:p>
      <w:pPr>
        <w:pBdr/>
        <w:spacing/>
        <w:ind/>
        <w:rPr/>
      </w:pPr>
      <w:r>
        <w:t xml:space="preserve">Amélioration de l’activité de la phosphofructokinase, mais aussi phosphorylase, et lactate déshydrogénase. Peu d’information sur le sujet.</w:t>
      </w:r>
      <w:r/>
    </w:p>
    <w:p>
      <w:pPr>
        <w:pBdr/>
        <w:spacing/>
        <w:ind/>
        <w:rPr/>
      </w:pPr>
      <w:r/>
      <w:r/>
    </w:p>
    <w:sectPr>
      <w:footnotePr/>
      <w:endnotePr/>
      <w:type w:val="nextPage"/>
      <w:pgSz w:h="16838" w:orient="portrait" w:w="11906"/>
      <w:pgMar w:top="1417" w:right="1417" w:bottom="1417" w:left="1417" w:header="708" w:footer="708"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Math">
    <w:panose1 w:val="02000603000000000000"/>
  </w:font>
  <w:font w:name="Wingdings">
    <w:panose1 w:val="05010000000000000000"/>
  </w:font>
  <w:font w:name="Symbol">
    <w:panose1 w:val="05010000000000000000"/>
  </w:font>
  <w:font w:name="Courier New">
    <w:panose1 w:val="02070309020205020404"/>
  </w:font>
  <w:font w:name="Noto Sans Symbols">
    <w:panose1 w:val="020B0502040504020204"/>
  </w:font>
  <w:font w:name="Arial">
    <w:panose1 w:val="020B0604020202020204"/>
  </w:font>
  <w:font w:name="Calibri">
    <w:panose1 w:val="020F0502020204030204"/>
  </w:font>
  <w:font w:name="Times New Roman">
    <w:panose1 w:val="020206030504050203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1">
    <w:lvl w:ilvl="0">
      <w:isLgl w:val="false"/>
      <w:lvlJc w:val="left"/>
      <w:lvlText w:val="●"/>
      <w:numFmt w:val="bullet"/>
      <w:pPr>
        <w:pBdr/>
        <w:spacing/>
        <w:ind w:hanging="360" w:left="720"/>
      </w:pPr>
      <w:rPr>
        <w:rFonts w:ascii="Noto Sans Symbols" w:hAnsi="Noto Sans Symbols" w:eastAsia="Noto Sans Symbols" w:cs="Noto Sans Symbols"/>
        <w:color w:val="c00000"/>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2">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3">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4">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6">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7">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8">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9">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10">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11">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12">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13">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14">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15">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16">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17">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18">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19">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20">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21">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22">
    <w:lvl w:ilvl="0">
      <w:isLgl w:val="false"/>
      <w:lvlJc w:val="left"/>
      <w:lvlText w:val="−"/>
      <w:numFmt w:val="bullet"/>
      <w:pPr>
        <w:pBdr/>
        <w:spacing/>
        <w:ind w:hanging="360" w:left="720"/>
      </w:pPr>
      <w:rPr>
        <w:rFonts w:ascii="Noto Sans Symbols" w:hAnsi="Noto Sans Symbols" w:eastAsia="Noto Sans Symbols" w:cs="Noto Sans Symbols"/>
      </w:rPr>
      <w:start w:val="1"/>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num w:numId="1">
    <w:abstractNumId w:val="0"/>
  </w:num>
  <w:num w:numId="2">
    <w:abstractNumId w:val="11"/>
  </w:num>
  <w:num w:numId="3">
    <w:abstractNumId w:val="17"/>
  </w:num>
  <w:num w:numId="4">
    <w:abstractNumId w:val="2"/>
  </w:num>
  <w:num w:numId="5">
    <w:abstractNumId w:val="22"/>
  </w:num>
  <w:num w:numId="6">
    <w:abstractNumId w:val="10"/>
  </w:num>
  <w:num w:numId="7">
    <w:abstractNumId w:val="15"/>
  </w:num>
  <w:num w:numId="8">
    <w:abstractNumId w:val="8"/>
  </w:num>
  <w:num w:numId="9">
    <w:abstractNumId w:val="18"/>
  </w:num>
  <w:num w:numId="10">
    <w:abstractNumId w:val="14"/>
  </w:num>
  <w:num w:numId="11">
    <w:abstractNumId w:val="5"/>
  </w:num>
  <w:num w:numId="12">
    <w:abstractNumId w:val="3"/>
  </w:num>
  <w:num w:numId="13">
    <w:abstractNumId w:val="12"/>
  </w:num>
  <w:num w:numId="14">
    <w:abstractNumId w:val="19"/>
  </w:num>
  <w:num w:numId="15">
    <w:abstractNumId w:val="1"/>
  </w:num>
  <w:num w:numId="16">
    <w:abstractNumId w:val="20"/>
  </w:num>
  <w:num w:numId="17">
    <w:abstractNumId w:val="6"/>
  </w:num>
  <w:num w:numId="18">
    <w:abstractNumId w:val="9"/>
  </w:num>
  <w:num w:numId="19">
    <w:abstractNumId w:val="4"/>
  </w:num>
  <w:num w:numId="20">
    <w:abstractNumId w:val="7"/>
  </w:num>
  <w:num w:numId="21">
    <w:abstractNumId w:val="13"/>
  </w:num>
  <w:num w:numId="22">
    <w:abstractNumId w:val="16"/>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hyphenationZone w:val="425"/>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Calibri" w:hAnsi="Calibri" w:eastAsia="Calibri" w:cs="Calibri"/>
        <w:sz w:val="21"/>
        <w:szCs w:val="21"/>
        <w:lang w:val="fr-FR" w:eastAsia="fr-FR" w:bidi="ar-SA"/>
      </w:rPr>
    </w:rPrDefault>
    <w:pPrDefault>
      <w:pPr>
        <w:pBdr/>
        <w:spacing w:after="160" w:afterAutospacing="0" w:before="0" w:beforeAutospacing="0" w:line="312"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2">
    <w:name w:val="Table Grid Light"/>
    <w:basedOn w:val="724"/>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
    <w:name w:val="Plain Table 1"/>
    <w:basedOn w:val="724"/>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2"/>
    <w:basedOn w:val="724"/>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3"/>
    <w:basedOn w:val="72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4"/>
    <w:basedOn w:val="72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5"/>
    <w:basedOn w:val="724"/>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Grid Table 1 Light"/>
    <w:basedOn w:val="724"/>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 Accent 1"/>
    <w:basedOn w:val="724"/>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2"/>
    <w:basedOn w:val="724"/>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3"/>
    <w:basedOn w:val="724"/>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4"/>
    <w:basedOn w:val="72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5"/>
    <w:basedOn w:val="724"/>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6"/>
    <w:basedOn w:val="724"/>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2"/>
    <w:basedOn w:val="724"/>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 Accent 1"/>
    <w:basedOn w:val="724"/>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2"/>
    <w:basedOn w:val="724"/>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3"/>
    <w:basedOn w:val="724"/>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4"/>
    <w:basedOn w:val="72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5"/>
    <w:basedOn w:val="724"/>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6"/>
    <w:basedOn w:val="724"/>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3"/>
    <w:basedOn w:val="724"/>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 Accent 1"/>
    <w:basedOn w:val="724"/>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2"/>
    <w:basedOn w:val="724"/>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3"/>
    <w:basedOn w:val="724"/>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4"/>
    <w:basedOn w:val="724"/>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5"/>
    <w:basedOn w:val="724"/>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6"/>
    <w:basedOn w:val="724"/>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4"/>
    <w:basedOn w:val="724"/>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 Accent 1"/>
    <w:basedOn w:val="724"/>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2"/>
    <w:basedOn w:val="724"/>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3"/>
    <w:basedOn w:val="724"/>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4"/>
    <w:basedOn w:val="724"/>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5"/>
    <w:basedOn w:val="724"/>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6"/>
    <w:basedOn w:val="724"/>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5 Dark"/>
    <w:basedOn w:val="7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Accent 1"/>
    <w:basedOn w:val="7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 Accent 2"/>
    <w:basedOn w:val="7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3"/>
    <w:basedOn w:val="7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Accent 4"/>
    <w:basedOn w:val="7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 Accent 5"/>
    <w:basedOn w:val="7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6"/>
    <w:basedOn w:val="724"/>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6 Colorful"/>
    <w:basedOn w:val="724"/>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4">
    <w:name w:val="Grid Table 6 Colorful - Accent 1"/>
    <w:basedOn w:val="724"/>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5">
    <w:name w:val="Grid Table 6 Colorful - Accent 2"/>
    <w:basedOn w:val="724"/>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6">
    <w:name w:val="Grid Table 6 Colorful - Accent 3"/>
    <w:basedOn w:val="724"/>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7">
    <w:name w:val="Grid Table 6 Colorful - Accent 4"/>
    <w:basedOn w:val="72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8">
    <w:name w:val="Grid Table 6 Colorful - Accent 5"/>
    <w:basedOn w:val="724"/>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59">
    <w:name w:val="Grid Table 6 Colorful - Accent 6"/>
    <w:basedOn w:val="724"/>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7 Colorful"/>
    <w:basedOn w:val="724"/>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7 Colorful - Accent 1"/>
    <w:basedOn w:val="724"/>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2"/>
    <w:basedOn w:val="724"/>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a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3"/>
    <w:basedOn w:val="724"/>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4"/>
    <w:basedOn w:val="724"/>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5"/>
    <w:basedOn w:val="724"/>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6"/>
    <w:basedOn w:val="724"/>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List Table 1 Light"/>
    <w:basedOn w:val="7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 Accent 1"/>
    <w:basedOn w:val="7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2"/>
    <w:basedOn w:val="7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3"/>
    <w:basedOn w:val="7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4"/>
    <w:basedOn w:val="7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5"/>
    <w:basedOn w:val="7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6"/>
    <w:basedOn w:val="724"/>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2"/>
    <w:basedOn w:val="724"/>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 Accent 1"/>
    <w:basedOn w:val="724"/>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2"/>
    <w:basedOn w:val="724"/>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3"/>
    <w:basedOn w:val="724"/>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4"/>
    <w:basedOn w:val="724"/>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5"/>
    <w:basedOn w:val="724"/>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6"/>
    <w:basedOn w:val="724"/>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3"/>
    <w:basedOn w:val="72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 Accent 1"/>
    <w:basedOn w:val="724"/>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2"/>
    <w:basedOn w:val="724"/>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3"/>
    <w:basedOn w:val="724"/>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4"/>
    <w:basedOn w:val="724"/>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5"/>
    <w:basedOn w:val="724"/>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6"/>
    <w:basedOn w:val="724"/>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4"/>
    <w:basedOn w:val="724"/>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 Accent 1"/>
    <w:basedOn w:val="724"/>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2"/>
    <w:basedOn w:val="724"/>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3"/>
    <w:basedOn w:val="724"/>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4"/>
    <w:basedOn w:val="724"/>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5"/>
    <w:basedOn w:val="724"/>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6"/>
    <w:basedOn w:val="724"/>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5 Dark"/>
    <w:basedOn w:val="724"/>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6">
    <w:name w:val="List Table 5 Dark - Accent 1"/>
    <w:basedOn w:val="724"/>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2"/>
    <w:basedOn w:val="724"/>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3"/>
    <w:basedOn w:val="724"/>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4"/>
    <w:basedOn w:val="724"/>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5"/>
    <w:basedOn w:val="724"/>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6"/>
    <w:basedOn w:val="724"/>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6 Colorful"/>
    <w:basedOn w:val="724"/>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List Table 6 Colorful - Accent 1"/>
    <w:basedOn w:val="724"/>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2"/>
    <w:basedOn w:val="724"/>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3"/>
    <w:basedOn w:val="724"/>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4"/>
    <w:basedOn w:val="724"/>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5"/>
    <w:basedOn w:val="724"/>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6"/>
    <w:basedOn w:val="724"/>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7 Colorful"/>
    <w:basedOn w:val="724"/>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0">
    <w:name w:val="List Table 7 Colorful - Accent 1"/>
    <w:basedOn w:val="724"/>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1">
    <w:name w:val="List Table 7 Colorful - Accent 2"/>
    <w:basedOn w:val="724"/>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a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112">
    <w:name w:val="List Table 7 Colorful - Accent 3"/>
    <w:basedOn w:val="724"/>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9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113">
    <w:name w:val="List Table 7 Colorful - Accent 4"/>
    <w:basedOn w:val="724"/>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114">
    <w:name w:val="List Table 7 Colorful - Accent 5"/>
    <w:basedOn w:val="724"/>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115">
    <w:name w:val="List Table 7 Colorful - Accent 6"/>
    <w:basedOn w:val="724"/>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8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table" w:styleId="116">
    <w:name w:val="Lined - Accent"/>
    <w:basedOn w:val="7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ned - Accent 1"/>
    <w:basedOn w:val="7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2"/>
    <w:basedOn w:val="7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3"/>
    <w:basedOn w:val="7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4"/>
    <w:basedOn w:val="7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5"/>
    <w:basedOn w:val="7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6"/>
    <w:basedOn w:val="724"/>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Bordered &amp; Lined - Accent"/>
    <w:basedOn w:val="724"/>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1"/>
    <w:basedOn w:val="724"/>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2"/>
    <w:basedOn w:val="724"/>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3"/>
    <w:basedOn w:val="724"/>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4"/>
    <w:basedOn w:val="724"/>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5"/>
    <w:basedOn w:val="724"/>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6"/>
    <w:basedOn w:val="724"/>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w:basedOn w:val="724"/>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 Accent 1"/>
    <w:basedOn w:val="724"/>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2"/>
    <w:basedOn w:val="724"/>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3"/>
    <w:basedOn w:val="724"/>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4"/>
    <w:basedOn w:val="724"/>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5"/>
    <w:basedOn w:val="724"/>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6"/>
    <w:basedOn w:val="724"/>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4">
    <w:name w:val="Heading 7"/>
    <w:basedOn w:val="716"/>
    <w:next w:val="716"/>
    <w:link w:val="15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5">
    <w:name w:val="Heading 8"/>
    <w:basedOn w:val="716"/>
    <w:next w:val="716"/>
    <w:link w:val="15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6">
    <w:name w:val="Heading 9"/>
    <w:basedOn w:val="716"/>
    <w:next w:val="716"/>
    <w:link w:val="15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49">
    <w:name w:val="Heading 1 Char"/>
    <w:basedOn w:val="723"/>
    <w:link w:val="717"/>
    <w:uiPriority w:val="9"/>
    <w:pPr>
      <w:pBdr/>
      <w:spacing/>
      <w:ind/>
    </w:pPr>
    <w:rPr>
      <w:rFonts w:ascii="Arial" w:hAnsi="Arial" w:eastAsia="Arial" w:cs="Arial"/>
      <w:color w:val="0f4761" w:themeColor="accent1" w:themeShade="BF"/>
      <w:sz w:val="40"/>
      <w:szCs w:val="40"/>
    </w:rPr>
  </w:style>
  <w:style w:type="character" w:styleId="150">
    <w:name w:val="Heading 2 Char"/>
    <w:basedOn w:val="723"/>
    <w:link w:val="718"/>
    <w:uiPriority w:val="9"/>
    <w:pPr>
      <w:pBdr/>
      <w:spacing/>
      <w:ind/>
    </w:pPr>
    <w:rPr>
      <w:rFonts w:ascii="Arial" w:hAnsi="Arial" w:eastAsia="Arial" w:cs="Arial"/>
      <w:color w:val="0f4761" w:themeColor="accent1" w:themeShade="BF"/>
      <w:sz w:val="32"/>
      <w:szCs w:val="32"/>
    </w:rPr>
  </w:style>
  <w:style w:type="character" w:styleId="151">
    <w:name w:val="Heading 3 Char"/>
    <w:basedOn w:val="723"/>
    <w:link w:val="719"/>
    <w:uiPriority w:val="9"/>
    <w:pPr>
      <w:pBdr/>
      <w:spacing/>
      <w:ind/>
    </w:pPr>
    <w:rPr>
      <w:rFonts w:ascii="Arial" w:hAnsi="Arial" w:eastAsia="Arial" w:cs="Arial"/>
      <w:color w:val="0f4761" w:themeColor="accent1" w:themeShade="BF"/>
      <w:sz w:val="28"/>
      <w:szCs w:val="28"/>
    </w:rPr>
  </w:style>
  <w:style w:type="character" w:styleId="152">
    <w:name w:val="Heading 4 Char"/>
    <w:basedOn w:val="723"/>
    <w:link w:val="720"/>
    <w:uiPriority w:val="9"/>
    <w:pPr>
      <w:pBdr/>
      <w:spacing/>
      <w:ind/>
    </w:pPr>
    <w:rPr>
      <w:rFonts w:ascii="Arial" w:hAnsi="Arial" w:eastAsia="Arial" w:cs="Arial"/>
      <w:i/>
      <w:iCs/>
      <w:color w:val="0f4761" w:themeColor="accent1" w:themeShade="BF"/>
    </w:rPr>
  </w:style>
  <w:style w:type="character" w:styleId="153">
    <w:name w:val="Heading 5 Char"/>
    <w:basedOn w:val="723"/>
    <w:link w:val="721"/>
    <w:uiPriority w:val="9"/>
    <w:pPr>
      <w:pBdr/>
      <w:spacing/>
      <w:ind/>
    </w:pPr>
    <w:rPr>
      <w:rFonts w:ascii="Arial" w:hAnsi="Arial" w:eastAsia="Arial" w:cs="Arial"/>
      <w:color w:val="0f4761" w:themeColor="accent1" w:themeShade="BF"/>
    </w:rPr>
  </w:style>
  <w:style w:type="character" w:styleId="154">
    <w:name w:val="Heading 6 Char"/>
    <w:basedOn w:val="723"/>
    <w:link w:val="722"/>
    <w:uiPriority w:val="9"/>
    <w:pPr>
      <w:pBdr/>
      <w:spacing/>
      <w:ind/>
    </w:pPr>
    <w:rPr>
      <w:rFonts w:ascii="Arial" w:hAnsi="Arial" w:eastAsia="Arial" w:cs="Arial"/>
      <w:i/>
      <w:iCs/>
      <w:color w:val="595959" w:themeColor="text1" w:themeTint="A6"/>
    </w:rPr>
  </w:style>
  <w:style w:type="character" w:styleId="155">
    <w:name w:val="Heading 7 Char"/>
    <w:basedOn w:val="723"/>
    <w:link w:val="144"/>
    <w:uiPriority w:val="9"/>
    <w:pPr>
      <w:pBdr/>
      <w:spacing/>
      <w:ind/>
    </w:pPr>
    <w:rPr>
      <w:rFonts w:ascii="Arial" w:hAnsi="Arial" w:eastAsia="Arial" w:cs="Arial"/>
      <w:color w:val="595959" w:themeColor="text1" w:themeTint="A6"/>
    </w:rPr>
  </w:style>
  <w:style w:type="character" w:styleId="156">
    <w:name w:val="Heading 8 Char"/>
    <w:basedOn w:val="723"/>
    <w:link w:val="145"/>
    <w:uiPriority w:val="9"/>
    <w:pPr>
      <w:pBdr/>
      <w:spacing/>
      <w:ind/>
    </w:pPr>
    <w:rPr>
      <w:rFonts w:ascii="Arial" w:hAnsi="Arial" w:eastAsia="Arial" w:cs="Arial"/>
      <w:i/>
      <w:iCs/>
      <w:color w:val="272727" w:themeColor="text1" w:themeTint="D8"/>
    </w:rPr>
  </w:style>
  <w:style w:type="character" w:styleId="157">
    <w:name w:val="Heading 9 Char"/>
    <w:basedOn w:val="723"/>
    <w:link w:val="146"/>
    <w:uiPriority w:val="9"/>
    <w:pPr>
      <w:pBdr/>
      <w:spacing/>
      <w:ind/>
    </w:pPr>
    <w:rPr>
      <w:rFonts w:ascii="Arial" w:hAnsi="Arial" w:eastAsia="Arial" w:cs="Arial"/>
      <w:i/>
      <w:iCs/>
      <w:color w:val="272727" w:themeColor="text1" w:themeTint="D8"/>
    </w:rPr>
  </w:style>
  <w:style w:type="character" w:styleId="159">
    <w:name w:val="Title Char"/>
    <w:basedOn w:val="723"/>
    <w:link w:val="727"/>
    <w:uiPriority w:val="10"/>
    <w:pPr>
      <w:pBdr/>
      <w:spacing/>
      <w:ind/>
    </w:pPr>
    <w:rPr>
      <w:rFonts w:ascii="Arial" w:hAnsi="Arial" w:eastAsia="Arial" w:cs="Arial"/>
      <w:spacing w:val="-10"/>
      <w:sz w:val="56"/>
      <w:szCs w:val="56"/>
    </w:rPr>
  </w:style>
  <w:style w:type="character" w:styleId="161">
    <w:name w:val="Subtitle Char"/>
    <w:basedOn w:val="723"/>
    <w:link w:val="728"/>
    <w:uiPriority w:val="11"/>
    <w:pPr>
      <w:pBdr/>
      <w:spacing/>
      <w:ind/>
    </w:pPr>
    <w:rPr>
      <w:color w:val="595959" w:themeColor="text1" w:themeTint="A6"/>
      <w:spacing w:val="15"/>
      <w:sz w:val="28"/>
      <w:szCs w:val="28"/>
    </w:rPr>
  </w:style>
  <w:style w:type="character" w:styleId="163">
    <w:name w:val="Quote Char"/>
    <w:basedOn w:val="723"/>
    <w:link w:val="737"/>
    <w:uiPriority w:val="29"/>
    <w:pPr>
      <w:pBdr/>
      <w:spacing/>
      <w:ind/>
    </w:pPr>
    <w:rPr>
      <w:i/>
      <w:iCs/>
      <w:color w:val="404040" w:themeColor="text1" w:themeTint="BF"/>
    </w:rPr>
  </w:style>
  <w:style w:type="paragraph" w:styleId="166">
    <w:name w:val="Intense Quote"/>
    <w:basedOn w:val="716"/>
    <w:next w:val="716"/>
    <w:link w:val="167"/>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7">
    <w:name w:val="Intense Quote Char"/>
    <w:basedOn w:val="723"/>
    <w:link w:val="166"/>
    <w:uiPriority w:val="30"/>
    <w:pPr>
      <w:pBdr/>
      <w:spacing/>
      <w:ind/>
    </w:pPr>
    <w:rPr>
      <w:i/>
      <w:iCs/>
      <w:color w:val="0f4761" w:themeColor="accent1" w:themeShade="BF"/>
    </w:rPr>
  </w:style>
  <w:style w:type="character" w:styleId="168">
    <w:name w:val="Intense Reference"/>
    <w:basedOn w:val="723"/>
    <w:uiPriority w:val="32"/>
    <w:qFormat/>
    <w:pPr>
      <w:pBdr/>
      <w:spacing/>
      <w:ind/>
    </w:pPr>
    <w:rPr>
      <w:b/>
      <w:bCs/>
      <w:smallCaps/>
      <w:color w:val="0f4761" w:themeColor="accent1" w:themeShade="BF"/>
      <w:spacing w:val="5"/>
    </w:rPr>
  </w:style>
  <w:style w:type="character" w:styleId="170">
    <w:name w:val="Subtle Emphasis"/>
    <w:basedOn w:val="723"/>
    <w:uiPriority w:val="19"/>
    <w:qFormat/>
    <w:pPr>
      <w:pBdr/>
      <w:spacing/>
      <w:ind/>
    </w:pPr>
    <w:rPr>
      <w:i/>
      <w:iCs/>
      <w:color w:val="404040" w:themeColor="text1" w:themeTint="BF"/>
    </w:rPr>
  </w:style>
  <w:style w:type="character" w:styleId="171">
    <w:name w:val="Emphasis"/>
    <w:basedOn w:val="723"/>
    <w:uiPriority w:val="20"/>
    <w:qFormat/>
    <w:pPr>
      <w:pBdr/>
      <w:spacing/>
      <w:ind/>
    </w:pPr>
    <w:rPr>
      <w:i/>
      <w:iCs/>
    </w:rPr>
  </w:style>
  <w:style w:type="character" w:styleId="172">
    <w:name w:val="Strong"/>
    <w:basedOn w:val="723"/>
    <w:uiPriority w:val="22"/>
    <w:qFormat/>
    <w:pPr>
      <w:pBdr/>
      <w:spacing/>
      <w:ind/>
    </w:pPr>
    <w:rPr>
      <w:b/>
      <w:bCs/>
    </w:rPr>
  </w:style>
  <w:style w:type="character" w:styleId="173">
    <w:name w:val="Subtle Reference"/>
    <w:basedOn w:val="723"/>
    <w:uiPriority w:val="31"/>
    <w:qFormat/>
    <w:pPr>
      <w:pBdr/>
      <w:spacing/>
      <w:ind/>
    </w:pPr>
    <w:rPr>
      <w:smallCaps/>
      <w:color w:val="5a5a5a" w:themeColor="text1" w:themeTint="A5"/>
    </w:rPr>
  </w:style>
  <w:style w:type="character" w:styleId="174">
    <w:name w:val="Book Title"/>
    <w:basedOn w:val="723"/>
    <w:uiPriority w:val="33"/>
    <w:qFormat/>
    <w:pPr>
      <w:pBdr/>
      <w:spacing/>
      <w:ind/>
    </w:pPr>
    <w:rPr>
      <w:b/>
      <w:bCs/>
      <w:i/>
      <w:iCs/>
      <w:spacing w:val="5"/>
    </w:rPr>
  </w:style>
  <w:style w:type="paragraph" w:styleId="175">
    <w:name w:val="Header"/>
    <w:basedOn w:val="716"/>
    <w:link w:val="176"/>
    <w:uiPriority w:val="99"/>
    <w:unhideWhenUsed/>
    <w:pPr>
      <w:pBdr/>
      <w:tabs>
        <w:tab w:val="center" w:leader="none" w:pos="4844"/>
        <w:tab w:val="right" w:leader="none" w:pos="9689"/>
      </w:tabs>
      <w:spacing w:after="0" w:line="240" w:lineRule="auto"/>
      <w:ind/>
    </w:pPr>
  </w:style>
  <w:style w:type="character" w:styleId="176">
    <w:name w:val="Header Char"/>
    <w:basedOn w:val="723"/>
    <w:link w:val="175"/>
    <w:uiPriority w:val="99"/>
    <w:pPr>
      <w:pBdr/>
      <w:spacing/>
      <w:ind/>
    </w:pPr>
  </w:style>
  <w:style w:type="paragraph" w:styleId="177">
    <w:name w:val="Footer"/>
    <w:basedOn w:val="716"/>
    <w:link w:val="178"/>
    <w:uiPriority w:val="99"/>
    <w:unhideWhenUsed/>
    <w:pPr>
      <w:pBdr/>
      <w:tabs>
        <w:tab w:val="center" w:leader="none" w:pos="4844"/>
        <w:tab w:val="right" w:leader="none" w:pos="9689"/>
      </w:tabs>
      <w:spacing w:after="0" w:line="240" w:lineRule="auto"/>
      <w:ind/>
    </w:pPr>
  </w:style>
  <w:style w:type="character" w:styleId="178">
    <w:name w:val="Footer Char"/>
    <w:basedOn w:val="723"/>
    <w:link w:val="177"/>
    <w:uiPriority w:val="99"/>
    <w:pPr>
      <w:pBdr/>
      <w:spacing/>
      <w:ind/>
    </w:pPr>
  </w:style>
  <w:style w:type="paragraph" w:styleId="179">
    <w:name w:val="Caption"/>
    <w:basedOn w:val="716"/>
    <w:next w:val="716"/>
    <w:uiPriority w:val="35"/>
    <w:unhideWhenUsed/>
    <w:qFormat/>
    <w:pPr>
      <w:pBdr/>
      <w:spacing w:after="200" w:line="240" w:lineRule="auto"/>
      <w:ind/>
    </w:pPr>
    <w:rPr>
      <w:i/>
      <w:iCs/>
      <w:color w:val="0e2841" w:themeColor="text2"/>
      <w:sz w:val="18"/>
      <w:szCs w:val="18"/>
    </w:rPr>
  </w:style>
  <w:style w:type="paragraph" w:styleId="180">
    <w:name w:val="footnote text"/>
    <w:basedOn w:val="716"/>
    <w:link w:val="181"/>
    <w:uiPriority w:val="99"/>
    <w:semiHidden/>
    <w:unhideWhenUsed/>
    <w:pPr>
      <w:pBdr/>
      <w:spacing w:after="0" w:line="240" w:lineRule="auto"/>
      <w:ind/>
    </w:pPr>
    <w:rPr>
      <w:sz w:val="20"/>
      <w:szCs w:val="20"/>
    </w:rPr>
  </w:style>
  <w:style w:type="character" w:styleId="181">
    <w:name w:val="Footnote Text Char"/>
    <w:basedOn w:val="723"/>
    <w:link w:val="180"/>
    <w:uiPriority w:val="99"/>
    <w:semiHidden/>
    <w:pPr>
      <w:pBdr/>
      <w:spacing/>
      <w:ind/>
    </w:pPr>
    <w:rPr>
      <w:sz w:val="20"/>
      <w:szCs w:val="20"/>
    </w:rPr>
  </w:style>
  <w:style w:type="character" w:styleId="182">
    <w:name w:val="footnote reference"/>
    <w:basedOn w:val="723"/>
    <w:uiPriority w:val="99"/>
    <w:semiHidden/>
    <w:unhideWhenUsed/>
    <w:pPr>
      <w:pBdr/>
      <w:spacing/>
      <w:ind/>
    </w:pPr>
    <w:rPr>
      <w:vertAlign w:val="superscript"/>
    </w:rPr>
  </w:style>
  <w:style w:type="paragraph" w:styleId="183">
    <w:name w:val="endnote text"/>
    <w:basedOn w:val="716"/>
    <w:link w:val="184"/>
    <w:uiPriority w:val="99"/>
    <w:semiHidden/>
    <w:unhideWhenUsed/>
    <w:pPr>
      <w:pBdr/>
      <w:spacing w:after="0" w:line="240" w:lineRule="auto"/>
      <w:ind/>
    </w:pPr>
    <w:rPr>
      <w:sz w:val="20"/>
      <w:szCs w:val="20"/>
    </w:rPr>
  </w:style>
  <w:style w:type="character" w:styleId="184">
    <w:name w:val="Endnote Text Char"/>
    <w:basedOn w:val="723"/>
    <w:link w:val="183"/>
    <w:uiPriority w:val="99"/>
    <w:semiHidden/>
    <w:pPr>
      <w:pBdr/>
      <w:spacing/>
      <w:ind/>
    </w:pPr>
    <w:rPr>
      <w:sz w:val="20"/>
      <w:szCs w:val="20"/>
    </w:rPr>
  </w:style>
  <w:style w:type="character" w:styleId="185">
    <w:name w:val="endnote reference"/>
    <w:basedOn w:val="723"/>
    <w:uiPriority w:val="99"/>
    <w:semiHidden/>
    <w:unhideWhenUsed/>
    <w:pPr>
      <w:pBdr/>
      <w:spacing/>
      <w:ind/>
    </w:pPr>
    <w:rPr>
      <w:vertAlign w:val="superscript"/>
    </w:rPr>
  </w:style>
  <w:style w:type="character" w:styleId="186">
    <w:name w:val="Hyperlink"/>
    <w:basedOn w:val="723"/>
    <w:uiPriority w:val="99"/>
    <w:unhideWhenUsed/>
    <w:pPr>
      <w:pBdr/>
      <w:spacing/>
      <w:ind/>
    </w:pPr>
    <w:rPr>
      <w:color w:val="0563c1" w:themeColor="hyperlink"/>
      <w:u w:val="single"/>
    </w:rPr>
  </w:style>
  <w:style w:type="character" w:styleId="187">
    <w:name w:val="FollowedHyperlink"/>
    <w:basedOn w:val="723"/>
    <w:uiPriority w:val="99"/>
    <w:semiHidden/>
    <w:unhideWhenUsed/>
    <w:pPr>
      <w:pBdr/>
      <w:spacing/>
      <w:ind/>
    </w:pPr>
    <w:rPr>
      <w:color w:val="954f72" w:themeColor="followedHyperlink"/>
      <w:u w:val="single"/>
    </w:rPr>
  </w:style>
  <w:style w:type="paragraph" w:styleId="188">
    <w:name w:val="toc 1"/>
    <w:basedOn w:val="716"/>
    <w:next w:val="716"/>
    <w:uiPriority w:val="39"/>
    <w:unhideWhenUsed/>
    <w:pPr>
      <w:pBdr/>
      <w:spacing w:after="100"/>
      <w:ind/>
    </w:pPr>
  </w:style>
  <w:style w:type="paragraph" w:styleId="189">
    <w:name w:val="toc 2"/>
    <w:basedOn w:val="716"/>
    <w:next w:val="716"/>
    <w:uiPriority w:val="39"/>
    <w:unhideWhenUsed/>
    <w:pPr>
      <w:pBdr/>
      <w:spacing w:after="100"/>
      <w:ind w:left="220"/>
    </w:pPr>
  </w:style>
  <w:style w:type="paragraph" w:styleId="190">
    <w:name w:val="toc 3"/>
    <w:basedOn w:val="716"/>
    <w:next w:val="716"/>
    <w:uiPriority w:val="39"/>
    <w:unhideWhenUsed/>
    <w:pPr>
      <w:pBdr/>
      <w:spacing w:after="100"/>
      <w:ind w:left="440"/>
    </w:pPr>
  </w:style>
  <w:style w:type="paragraph" w:styleId="191">
    <w:name w:val="toc 4"/>
    <w:basedOn w:val="716"/>
    <w:next w:val="716"/>
    <w:uiPriority w:val="39"/>
    <w:unhideWhenUsed/>
    <w:pPr>
      <w:pBdr/>
      <w:spacing w:after="100"/>
      <w:ind w:left="660"/>
    </w:pPr>
  </w:style>
  <w:style w:type="paragraph" w:styleId="192">
    <w:name w:val="toc 5"/>
    <w:basedOn w:val="716"/>
    <w:next w:val="716"/>
    <w:uiPriority w:val="39"/>
    <w:unhideWhenUsed/>
    <w:pPr>
      <w:pBdr/>
      <w:spacing w:after="100"/>
      <w:ind w:left="880"/>
    </w:pPr>
  </w:style>
  <w:style w:type="paragraph" w:styleId="193">
    <w:name w:val="toc 6"/>
    <w:basedOn w:val="716"/>
    <w:next w:val="716"/>
    <w:uiPriority w:val="39"/>
    <w:unhideWhenUsed/>
    <w:pPr>
      <w:pBdr/>
      <w:spacing w:after="100"/>
      <w:ind w:left="1100"/>
    </w:pPr>
  </w:style>
  <w:style w:type="paragraph" w:styleId="194">
    <w:name w:val="toc 7"/>
    <w:basedOn w:val="716"/>
    <w:next w:val="716"/>
    <w:uiPriority w:val="39"/>
    <w:unhideWhenUsed/>
    <w:pPr>
      <w:pBdr/>
      <w:spacing w:after="100"/>
      <w:ind w:left="1320"/>
    </w:pPr>
  </w:style>
  <w:style w:type="paragraph" w:styleId="195">
    <w:name w:val="toc 8"/>
    <w:basedOn w:val="716"/>
    <w:next w:val="716"/>
    <w:uiPriority w:val="39"/>
    <w:unhideWhenUsed/>
    <w:pPr>
      <w:pBdr/>
      <w:spacing w:after="100"/>
      <w:ind w:left="1540"/>
    </w:pPr>
  </w:style>
  <w:style w:type="paragraph" w:styleId="196">
    <w:name w:val="toc 9"/>
    <w:basedOn w:val="716"/>
    <w:next w:val="716"/>
    <w:uiPriority w:val="39"/>
    <w:unhideWhenUsed/>
    <w:pPr>
      <w:pBdr/>
      <w:spacing w:after="100"/>
      <w:ind w:left="1760"/>
    </w:pPr>
  </w:style>
  <w:style w:type="paragraph" w:styleId="207">
    <w:name w:val="TOC Heading"/>
    <w:uiPriority w:val="39"/>
    <w:unhideWhenUsed/>
    <w:pPr>
      <w:pBdr/>
      <w:spacing/>
      <w:ind/>
    </w:pPr>
  </w:style>
  <w:style w:type="paragraph" w:styleId="208">
    <w:name w:val="table of figures"/>
    <w:basedOn w:val="716"/>
    <w:next w:val="716"/>
    <w:uiPriority w:val="99"/>
    <w:unhideWhenUsed/>
    <w:pPr>
      <w:pBdr/>
      <w:spacing w:after="0" w:afterAutospacing="0"/>
      <w:ind/>
    </w:pPr>
  </w:style>
  <w:style w:type="paragraph" w:styleId="716" w:default="1">
    <w:name w:val="Normal"/>
    <w:qFormat/>
    <w:pPr>
      <w:pBdr/>
      <w:spacing/>
      <w:ind/>
    </w:pPr>
  </w:style>
  <w:style w:type="paragraph" w:styleId="717">
    <w:name w:val="Heading 1"/>
    <w:basedOn w:val="716"/>
    <w:next w:val="716"/>
    <w:uiPriority w:val="9"/>
    <w:qFormat/>
    <w:pPr>
      <w:keepNext w:val="true"/>
      <w:keepLines w:val="true"/>
      <w:pBdr>
        <w:left w:val="single" w:color="ed7d31" w:sz="12" w:space="12"/>
      </w:pBdr>
      <w:spacing w:after="80" w:before="80" w:line="240" w:lineRule="auto"/>
      <w:ind/>
      <w:outlineLvl w:val="0"/>
    </w:pPr>
    <w:rPr>
      <w:smallCaps/>
      <w:sz w:val="36"/>
      <w:szCs w:val="36"/>
    </w:rPr>
  </w:style>
  <w:style w:type="paragraph" w:styleId="718">
    <w:name w:val="Heading 2"/>
    <w:basedOn w:val="716"/>
    <w:next w:val="716"/>
    <w:uiPriority w:val="9"/>
    <w:unhideWhenUsed/>
    <w:qFormat/>
    <w:pPr>
      <w:keepNext w:val="true"/>
      <w:keepLines w:val="true"/>
      <w:pBdr/>
      <w:spacing w:after="0" w:before="120" w:line="240" w:lineRule="auto"/>
      <w:ind/>
      <w:outlineLvl w:val="1"/>
    </w:pPr>
    <w:rPr>
      <w:sz w:val="36"/>
      <w:szCs w:val="36"/>
    </w:rPr>
  </w:style>
  <w:style w:type="paragraph" w:styleId="719">
    <w:name w:val="Heading 3"/>
    <w:basedOn w:val="716"/>
    <w:next w:val="716"/>
    <w:uiPriority w:val="9"/>
    <w:unhideWhenUsed/>
    <w:qFormat/>
    <w:pPr>
      <w:keepNext w:val="true"/>
      <w:keepLines w:val="true"/>
      <w:pBdr/>
      <w:spacing w:after="0" w:before="80" w:line="240" w:lineRule="auto"/>
      <w:ind/>
      <w:outlineLvl w:val="2"/>
    </w:pPr>
    <w:rPr>
      <w:smallCaps/>
      <w:sz w:val="28"/>
      <w:szCs w:val="28"/>
    </w:rPr>
  </w:style>
  <w:style w:type="paragraph" w:styleId="720">
    <w:name w:val="Heading 4"/>
    <w:basedOn w:val="716"/>
    <w:next w:val="716"/>
    <w:uiPriority w:val="9"/>
    <w:unhideWhenUsed/>
    <w:qFormat/>
    <w:pPr>
      <w:keepNext w:val="true"/>
      <w:keepLines w:val="true"/>
      <w:pBdr/>
      <w:spacing w:after="0" w:before="80" w:line="240" w:lineRule="auto"/>
      <w:ind/>
      <w:outlineLvl w:val="3"/>
    </w:pPr>
    <w:rPr>
      <w:i/>
      <w:sz w:val="28"/>
      <w:szCs w:val="28"/>
    </w:rPr>
  </w:style>
  <w:style w:type="paragraph" w:styleId="721">
    <w:name w:val="Heading 5"/>
    <w:basedOn w:val="716"/>
    <w:next w:val="716"/>
    <w:uiPriority w:val="9"/>
    <w:semiHidden/>
    <w:unhideWhenUsed/>
    <w:qFormat/>
    <w:pPr>
      <w:keepNext w:val="true"/>
      <w:keepLines w:val="true"/>
      <w:pBdr/>
      <w:spacing w:after="0" w:before="80" w:line="240" w:lineRule="auto"/>
      <w:ind/>
      <w:outlineLvl w:val="4"/>
    </w:pPr>
    <w:rPr>
      <w:sz w:val="24"/>
      <w:szCs w:val="24"/>
    </w:rPr>
  </w:style>
  <w:style w:type="paragraph" w:styleId="722">
    <w:name w:val="Heading 6"/>
    <w:basedOn w:val="716"/>
    <w:next w:val="716"/>
    <w:uiPriority w:val="9"/>
    <w:semiHidden/>
    <w:unhideWhenUsed/>
    <w:qFormat/>
    <w:pPr>
      <w:keepNext w:val="true"/>
      <w:keepLines w:val="true"/>
      <w:pBdr/>
      <w:spacing w:after="0" w:before="80" w:line="240" w:lineRule="auto"/>
      <w:ind/>
      <w:outlineLvl w:val="5"/>
    </w:pPr>
    <w:rPr>
      <w:i/>
      <w:sz w:val="24"/>
      <w:szCs w:val="24"/>
    </w:rPr>
  </w:style>
  <w:style w:type="character" w:styleId="723" w:default="1">
    <w:name w:val="Default Paragraph Font"/>
    <w:uiPriority w:val="1"/>
    <w:semiHidden/>
    <w:unhideWhenUsed/>
    <w:pPr>
      <w:pBdr/>
      <w:spacing/>
      <w:ind/>
    </w:pPr>
  </w:style>
  <w:style w:type="table" w:styleId="724"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725" w:default="1">
    <w:name w:val="No List"/>
    <w:uiPriority w:val="99"/>
    <w:semiHidden/>
    <w:unhideWhenUsed/>
    <w:pPr>
      <w:pBdr/>
      <w:spacing/>
      <w:ind/>
    </w:pPr>
  </w:style>
  <w:style w:type="table" w:styleId="726" w:customStyle="1">
    <w:name w:val="Table Normal"/>
    <w:pPr>
      <w:pBdr/>
      <w:spacing/>
      <w:ind/>
    </w:pPr>
    <w:tblPr>
      <w:tblCellMar>
        <w:left w:w="0" w:type="dxa"/>
        <w:top w:w="0" w:type="dxa"/>
        <w:right w:w="0"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727">
    <w:name w:val="Title"/>
    <w:basedOn w:val="716"/>
    <w:next w:val="716"/>
    <w:uiPriority w:val="10"/>
    <w:qFormat/>
    <w:pPr>
      <w:pBdr/>
      <w:spacing w:after="0" w:line="240" w:lineRule="auto"/>
      <w:ind/>
    </w:pPr>
    <w:rPr>
      <w:smallCaps/>
      <w:sz w:val="76"/>
      <w:szCs w:val="76"/>
    </w:rPr>
  </w:style>
  <w:style w:type="paragraph" w:styleId="728">
    <w:name w:val="Subtitle"/>
    <w:basedOn w:val="716"/>
    <w:next w:val="716"/>
    <w:uiPriority w:val="11"/>
    <w:qFormat/>
    <w:pPr>
      <w:pBdr/>
      <w:spacing w:after="240"/>
      <w:ind/>
    </w:pPr>
    <w:rPr>
      <w:color w:val="000000"/>
      <w:sz w:val="24"/>
      <w:szCs w:val="24"/>
    </w:rPr>
  </w:style>
  <w:style w:type="table" w:styleId="729" w:customStyle="1">
    <w:name w:val="StGen0"/>
    <w:basedOn w:val="726"/>
    <w:pPr>
      <w:pBdr/>
      <w:spacing w:after="0" w:line="240" w:lineRule="auto"/>
      <w:ind/>
    </w:pPr>
    <w:tblPr>
      <w:tblStyleRowBandSize w:val="1"/>
      <w:tblStyleColBandSize w:val="1"/>
      <w:tblCellMar>
        <w:left w:w="108" w:type="dxa"/>
        <w:right w:w="108" w:type="dxa"/>
      </w:tblCellMar>
      <w:tblBorders/>
    </w:tblPr>
    <w:tcPr>
      <w:tcBorders/>
    </w:tcPr>
    <w:tblStylePr w:type="band1Horz">
      <w:pPr>
        <w:pBdr/>
        <w:spacing/>
        <w:ind/>
      </w:pPr>
      <w:tblPr>
        <w:tblBorders/>
      </w:tblPr>
      <w:tcPr>
        <w:shd w:val="clear" w:color="auto" w:fill="f2f2f2"/>
        <w:tcBorders/>
      </w:tcPr>
    </w:tblStylePr>
    <w:tblStylePr w:type="band1Vert">
      <w:pPr>
        <w:pBdr/>
        <w:spacing/>
        <w:ind/>
      </w:pPr>
      <w:tblPr>
        <w:tblBorders/>
      </w:tblPr>
      <w:tcPr>
        <w:shd w:val="clear" w:color="auto" w:fill="f2f2f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rPr>
      <w:pPr>
        <w:pBdr/>
        <w:spacing/>
        <w:ind/>
      </w:pPr>
      <w:tblPr>
        <w:tblBorders/>
      </w:tblPr>
      <w:tcPr>
        <w:tcBorders/>
      </w:tcPr>
    </w:tblStylePr>
    <w:tblStylePr w:type="firstRow">
      <w:rPr>
        <w:b/>
      </w:rPr>
      <w:pPr>
        <w:pBdr/>
        <w:spacing/>
        <w:ind/>
      </w:pPr>
      <w:tblPr>
        <w:tblBorders/>
      </w:tblPr>
      <w:tcPr>
        <w:tcBorders/>
      </w:tcPr>
    </w:tblStylePr>
    <w:tblStylePr w:type="lastCol">
      <w:rPr>
        <w:b/>
      </w:rPr>
      <w:pPr>
        <w:pBdr/>
        <w:spacing/>
        <w:ind/>
      </w:pPr>
      <w:tblPr>
        <w:tblBorders/>
      </w:tblPr>
      <w:tcPr>
        <w:tcBorders/>
      </w:tcPr>
    </w:tblStylePr>
    <w:tblStylePr w:type="lastRow">
      <w:rPr>
        <w:b/>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0" w:customStyle="1">
    <w:name w:val="StGen1"/>
    <w:basedOn w:val="726"/>
    <w:pPr>
      <w:pBdr/>
      <w:spacing w:after="0" w:line="240" w:lineRule="auto"/>
      <w:ind/>
    </w:pPr>
    <w:tblPr>
      <w:tblStyleRowBandSize w:val="1"/>
      <w:tblStyleColBandSize w:val="1"/>
      <w:tblCellMar>
        <w:left w:w="108" w:type="dxa"/>
        <w:right w:w="108" w:type="dxa"/>
      </w:tblCellMar>
      <w:tblBorders/>
    </w:tblPr>
    <w:tcPr>
      <w:tcBorders/>
    </w:tcPr>
    <w:tblStylePr w:type="band1Horz">
      <w:pPr>
        <w:pBdr/>
        <w:spacing/>
        <w:ind/>
      </w:pPr>
      <w:tblPr>
        <w:tblBorders/>
      </w:tblPr>
      <w:tcPr>
        <w:shd w:val="clear" w:color="auto" w:fill="f2f2f2"/>
        <w:tcBorders/>
      </w:tcPr>
    </w:tblStylePr>
    <w:tblStylePr w:type="band1Vert">
      <w:pPr>
        <w:pBdr/>
        <w:spacing/>
        <w:ind/>
      </w:pPr>
      <w:tblPr>
        <w:tblBorders/>
      </w:tblPr>
      <w:tcPr>
        <w:shd w:val="clear" w:color="auto" w:fill="f2f2f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smallCaps/>
      </w:rPr>
      <w:pPr>
        <w:pBdr/>
        <w:spacing/>
        <w:ind/>
      </w:pPr>
      <w:tblPr>
        <w:tblBorders/>
      </w:tblPr>
      <w:tcPr>
        <w:tcBorders>
          <w:right w:val="single" w:color="7f7f7f" w:sz="4" w:space="0"/>
        </w:tcBorders>
      </w:tcPr>
    </w:tblStylePr>
    <w:tblStylePr w:type="firstRow">
      <w:rPr>
        <w:b/>
        <w:smallCaps/>
      </w:rPr>
      <w:pPr>
        <w:pBdr/>
        <w:spacing/>
        <w:ind/>
      </w:pPr>
      <w:tblPr>
        <w:tblBorders/>
      </w:tblPr>
      <w:tcPr>
        <w:tcBorders>
          <w:bottom w:val="single" w:color="7f7f7f" w:sz="4" w:space="0"/>
        </w:tcBorders>
      </w:tcPr>
    </w:tblStylePr>
    <w:tblStylePr w:type="lastCol">
      <w:rPr>
        <w:b/>
        <w:smallCaps/>
      </w:rPr>
      <w:pPr>
        <w:pBdr/>
        <w:spacing/>
        <w:ind/>
      </w:pPr>
      <w:tblPr>
        <w:tblBorders/>
      </w:tblPr>
      <w:tcPr>
        <w:tcBorders>
          <w:left w:val="none" w:color="000000" w:sz="4" w:space="0"/>
        </w:tcBorders>
      </w:tcPr>
    </w:tblStylePr>
    <w:tblStylePr w:type="lastRow">
      <w:rPr>
        <w:b/>
        <w:smallCaps/>
      </w:rPr>
      <w:pPr>
        <w:pBdr/>
        <w:spacing/>
        <w:ind/>
      </w:pPr>
      <w:tblPr>
        <w:tblBorders/>
      </w:tblPr>
      <w:tcPr>
        <w:tcBorders>
          <w:top w:val="none" w:color="000000" w:sz="4" w:space="0"/>
        </w:tcBorders>
      </w:tcPr>
    </w:tblStylePr>
    <w:tblStylePr w:type="nwCell">
      <w:pPr>
        <w:pBdr/>
        <w:spacing/>
        <w:ind/>
      </w:pPr>
      <w:tblPr>
        <w:tblBorders/>
      </w:tblPr>
      <w:tcPr>
        <w:tcBorders>
          <w:right w:val="none" w:color="000000" w:sz="4" w:space="0"/>
        </w:tcBorders>
      </w:tcPr>
    </w:tblStylePr>
    <w:tblStylePr w:type="neCell">
      <w:pPr>
        <w:pBdr/>
        <w:spacing/>
        <w:ind/>
      </w:pPr>
      <w:tblPr>
        <w:tblBorders/>
      </w:tblPr>
      <w:tcPr>
        <w:tcBorders>
          <w:left w:val="none" w:color="000000" w:sz="4" w:space="0"/>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1" w:customStyle="1">
    <w:name w:val="StGen2"/>
    <w:basedOn w:val="726"/>
    <w:pPr>
      <w:pBdr/>
      <w:spacing w:after="0" w:line="240" w:lineRule="auto"/>
      <w:ind/>
    </w:pPr>
    <w:tblPr>
      <w:tblStyleRowBandSize w:val="1"/>
      <w:tblStyleColBandSize w:val="1"/>
      <w:tblCellMar>
        <w:left w:w="108" w:type="dxa"/>
        <w:right w:w="108"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732">
    <w:name w:val="Intense Emphasis"/>
    <w:basedOn w:val="723"/>
    <w:uiPriority w:val="21"/>
    <w:qFormat/>
    <w:pPr>
      <w:pBdr/>
      <w:spacing/>
      <w:ind/>
    </w:pPr>
    <w:rPr>
      <w:rFonts w:asciiTheme="minorHAnsi" w:hAnsiTheme="minorHAnsi" w:eastAsiaTheme="minorEastAsia" w:cstheme="minorBidi"/>
      <w:b/>
      <w:bCs/>
      <w:i/>
      <w:iCs/>
      <w:color w:val="943634" w:themeColor="accent2" w:themeShade="BF"/>
      <w:spacing w:val="0"/>
      <w:position w:val="0"/>
      <w:sz w:val="20"/>
      <w:szCs w:val="20"/>
    </w:rPr>
  </w:style>
  <w:style w:type="table" w:styleId="733">
    <w:name w:val="Table Grid"/>
    <w:basedOn w:val="724"/>
    <w:uiPriority w:val="39"/>
    <w:pPr>
      <w:pBdr/>
      <w:spacing w:after="0" w:line="240" w:lineRule="auto"/>
      <w:ind/>
    </w:pPr>
    <w:rPr>
      <w:rFonts w:asciiTheme="minorHAnsi" w:hAnsiTheme="minorHAnsi" w:eastAsiaTheme="minorHAnsi" w:cstheme="minorBidi"/>
      <w:lang w:eastAsia="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734">
    <w:name w:val="Placeholder Text"/>
    <w:basedOn w:val="723"/>
    <w:uiPriority w:val="99"/>
    <w:semiHidden/>
    <w:pPr>
      <w:pBdr/>
      <w:spacing/>
      <w:ind/>
    </w:pPr>
    <w:rPr>
      <w:color w:val="666666"/>
    </w:rPr>
  </w:style>
  <w:style w:type="paragraph" w:styleId="735">
    <w:name w:val="List Paragraph"/>
    <w:basedOn w:val="716"/>
    <w:uiPriority w:val="34"/>
    <w:qFormat/>
    <w:pPr>
      <w:pBdr/>
      <w:spacing/>
      <w:ind w:left="720"/>
      <w:contextualSpacing w:val="true"/>
    </w:pPr>
  </w:style>
  <w:style w:type="paragraph" w:styleId="736">
    <w:name w:val="No Spacing"/>
    <w:uiPriority w:val="1"/>
    <w:qFormat/>
    <w:pPr>
      <w:pBdr/>
      <w:spacing w:after="0" w:line="240" w:lineRule="auto"/>
      <w:ind/>
    </w:pPr>
  </w:style>
  <w:style w:type="paragraph" w:styleId="737">
    <w:name w:val="Quote"/>
    <w:basedOn w:val="716"/>
    <w:next w:val="716"/>
    <w:link w:val="738"/>
    <w:uiPriority w:val="29"/>
    <w:qFormat/>
    <w:pPr>
      <w:pBdr/>
      <w:spacing w:before="200"/>
      <w:ind w:right="864" w:left="864"/>
      <w:jc w:val="center"/>
    </w:pPr>
    <w:rPr>
      <w:i/>
      <w:iCs/>
      <w:color w:val="404040" w:themeColor="text1" w:themeTint="BF"/>
    </w:rPr>
  </w:style>
  <w:style w:type="character" w:styleId="738" w:customStyle="1">
    <w:name w:val="Citation Car"/>
    <w:basedOn w:val="723"/>
    <w:link w:val="737"/>
    <w:uiPriority w:val="29"/>
    <w:pPr>
      <w:pBdr/>
      <w:spacing/>
      <w:ind/>
    </w:pPr>
    <w:rPr>
      <w:i/>
      <w:iCs/>
      <w:color w:val="404040" w:themeColor="text1" w:themeTint="BF"/>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gif"/><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fDNQpof0YEnHfLmhf6v0mdjUnA==">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ONLYOFFICE/9.0.0.172</Application>
  <DocSecurity>0</DocSecurity>
  <ScaleCrop>0</ScaleCrop>
  <HeadingPairs>
    <vt:vector size="0" baseType="variant"/>
  </HeadingPairs>
  <TitlesOfParts>
    <vt:vector size="0" baseType="lpstr"/>
  </TitlesOfParts>
  <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69</cp:revision>
  <dcterms:created xsi:type="dcterms:W3CDTF">2024-04-16T13:38:00Z</dcterms:created>
  <dcterms:modified xsi:type="dcterms:W3CDTF">2025-12-21T13:48:28Z</dcterms:modified>
</cp:coreProperties>
</file>