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86"/>
        <w:pBdr/>
        <w:spacing/>
        <w:ind/>
        <w:jc w:val="both"/>
        <w:rPr/>
      </w:pPr>
      <w:r>
        <w:t xml:space="preserve">La fatigue musculaire</w:t>
      </w:r>
      <w:r/>
    </w:p>
    <w:p>
      <w:pPr>
        <w:pStyle w:val="673"/>
        <w:pBdr/>
        <w:spacing/>
        <w:ind/>
        <w:jc w:val="both"/>
        <w:rPr/>
      </w:pPr>
      <w:r>
        <w:t xml:space="preserve">Approche Physiologique</w:t>
      </w:r>
      <w:r/>
    </w:p>
    <w:p>
      <w:pPr>
        <w:pStyle w:val="672"/>
        <w:pBdr/>
        <w:spacing/>
        <w:ind/>
        <w:jc w:val="both"/>
        <w:rPr/>
      </w:pPr>
      <w:r>
        <w:t xml:space="preserve">La fatigue correspond à une incapacité à maintenir un travail musculaire (force) à une intensité donnée. Elle est rarement causée par un facteur unique.</w:t>
      </w:r>
      <w:r/>
    </w:p>
    <w:p>
      <w:pPr>
        <w:pStyle w:val="672"/>
        <w:pBdr/>
        <w:spacing/>
        <w:ind/>
        <w:jc w:val="both"/>
        <w:rPr/>
      </w:pPr>
      <w:r>
        <w:t xml:space="preserve">Principaux mécanismes :</w:t>
      </w:r>
      <w:r/>
    </w:p>
    <w:p>
      <w:pPr>
        <w:pStyle w:val="672"/>
        <w:numPr>
          <w:ilvl w:val="0"/>
          <w:numId w:val="1"/>
        </w:numPr>
        <w:pBdr/>
        <w:spacing w:after="0" w:before="0"/>
        <w:ind/>
        <w:jc w:val="both"/>
        <w:rPr>
          <w:b/>
          <w:i/>
          <w:color w:val="c55911"/>
          <w:sz w:val="20"/>
          <w:szCs w:val="20"/>
        </w:rPr>
      </w:pPr>
      <w:r>
        <w:rPr>
          <w:b/>
          <w:i/>
          <w:color w:val="c55911"/>
          <w:sz w:val="20"/>
          <w:szCs w:val="20"/>
        </w:rPr>
        <w:t xml:space="preserve">Fatigue périphérique</w:t>
      </w:r>
      <w:r>
        <w:rPr>
          <w:b/>
          <w:i/>
          <w:color w:val="c55911"/>
          <w:sz w:val="20"/>
          <w:szCs w:val="20"/>
        </w:rPr>
      </w:r>
    </w:p>
    <w:p>
      <w:pPr>
        <w:pStyle w:val="672"/>
        <w:numPr>
          <w:ilvl w:val="1"/>
          <w:numId w:val="1"/>
        </w:numPr>
        <w:pBdr/>
        <w:spacing w:after="0" w:before="0"/>
        <w:ind/>
        <w:jc w:val="both"/>
        <w:rPr>
          <w:i/>
          <w:color w:val="000000"/>
        </w:rPr>
      </w:pPr>
      <w:r>
        <w:rPr>
          <w:i/>
          <w:color w:val="000000"/>
        </w:rPr>
        <w:t xml:space="preserve">Systèmes énergétiques (ATP-PCr, glycolyse, système oxydatif)</w:t>
      </w:r>
      <w:r>
        <w:rPr>
          <w:i/>
          <w:color w:val="000000"/>
        </w:rPr>
      </w:r>
    </w:p>
    <w:p>
      <w:pPr>
        <w:pStyle w:val="672"/>
        <w:numPr>
          <w:ilvl w:val="1"/>
          <w:numId w:val="1"/>
        </w:numPr>
        <w:pBdr/>
        <w:spacing w:after="0" w:before="0"/>
        <w:ind/>
        <w:jc w:val="both"/>
        <w:rPr>
          <w:i/>
          <w:color w:val="000000"/>
        </w:rPr>
      </w:pPr>
      <w:r>
        <w:rPr>
          <w:i/>
          <w:color w:val="000000"/>
        </w:rPr>
        <w:t xml:space="preserve">Accumulation de sous métabolites (lactate, H+)</w:t>
      </w:r>
      <w:r>
        <w:rPr>
          <w:i/>
          <w:color w:val="000000"/>
        </w:rPr>
      </w:r>
    </w:p>
    <w:p>
      <w:pPr>
        <w:pStyle w:val="672"/>
        <w:numPr>
          <w:ilvl w:val="1"/>
          <w:numId w:val="1"/>
        </w:numPr>
        <w:pBdr/>
        <w:spacing w:after="0" w:before="0"/>
        <w:ind/>
        <w:jc w:val="both"/>
        <w:rPr>
          <w:color w:val="000000"/>
        </w:rPr>
      </w:pPr>
      <w:r>
        <w:rPr>
          <w:i/>
          <w:color w:val="000000"/>
        </w:rPr>
        <w:t xml:space="preserve">Altération des mécanismes contractiles</w:t>
      </w:r>
      <w:r>
        <w:rPr>
          <w:color w:val="000000"/>
        </w:rPr>
      </w:r>
    </w:p>
    <w:p>
      <w:pPr>
        <w:pStyle w:val="672"/>
        <w:numPr>
          <w:ilvl w:val="0"/>
          <w:numId w:val="1"/>
        </w:numPr>
        <w:pBdr/>
        <w:spacing w:after="0" w:before="0"/>
        <w:ind/>
        <w:jc w:val="both"/>
        <w:rPr/>
      </w:pPr>
      <w:r>
        <w:rPr>
          <w:b/>
          <w:i/>
          <w:color w:val="c55911"/>
          <w:sz w:val="20"/>
          <w:szCs w:val="20"/>
        </w:rPr>
        <w:t xml:space="preserve">Fatigue centrale</w:t>
      </w:r>
      <w:r/>
    </w:p>
    <w:p>
      <w:pPr>
        <w:pStyle w:val="672"/>
        <w:numPr>
          <w:ilvl w:val="1"/>
          <w:numId w:val="1"/>
        </w:numPr>
        <w:pBdr/>
        <w:spacing/>
        <w:ind/>
        <w:jc w:val="both"/>
        <w:rPr/>
      </w:pPr>
      <w:r>
        <w:rPr>
          <w:color w:val="000000"/>
        </w:rPr>
        <w:t xml:space="preserve">Altération du système nerveux</w:t>
      </w:r>
      <w:r/>
    </w:p>
    <w:p>
      <w:pPr>
        <w:pStyle w:val="674"/>
        <w:pBdr/>
        <w:spacing/>
        <w:ind/>
        <w:jc w:val="both"/>
        <w:rPr/>
      </w:pPr>
      <w:r>
        <w:t xml:space="preserve">Les systèmes énergétiques et la fatigue</w:t>
      </w:r>
      <w:r/>
    </w:p>
    <w:p>
      <w:pPr>
        <w:pStyle w:val="675"/>
        <w:pBdr/>
        <w:spacing/>
        <w:ind/>
        <w:jc w:val="both"/>
        <w:rPr>
          <w:color w:val="2f5496"/>
        </w:rPr>
      </w:pPr>
      <w:r>
        <w:rPr>
          <w:color w:val="2f5496"/>
        </w:rPr>
        <w:t xml:space="preserve">Epuisement des stocks de phosphocréatine</w:t>
      </w:r>
      <w:r>
        <w:rPr>
          <w:color w:val="2f5496"/>
        </w:rPr>
      </w:r>
    </w:p>
    <w:p>
      <w:pPr>
        <w:pStyle w:val="672"/>
        <w:pBdr/>
        <w:spacing/>
        <w:ind/>
        <w:jc w:val="both"/>
        <w:rPr/>
      </w:pPr>
      <w:r>
        <w:t xml:space="preserve">Les </w:t>
      </w:r>
      <w:r>
        <w:rPr>
          <w:i/>
          <w:color w:val="c55911"/>
          <w:sz w:val="20"/>
          <w:szCs w:val="20"/>
        </w:rPr>
        <w:t xml:space="preserve">stocks de PCr chutent</w:t>
      </w:r>
      <w:r>
        <w:t xml:space="preserve"> au contraire de l’ATP : le corps trouve la synthétise d’un autre moyen.</w:t>
      </w:r>
      <w:r/>
    </w:p>
    <w:p>
      <w:pPr>
        <w:pStyle w:val="672"/>
        <w:pBdr/>
        <w:spacing/>
        <w:ind/>
        <w:jc w:val="both"/>
        <w:rPr/>
      </w:pPr>
      <w:r>
        <w:t xml:space="preserve">Pour retarder la fatigue, l’athlète doit contrôler son effort en courant à une vitesse telle que les stocks de PCr et d’ATP ne soient pas prématurément épuisés. </w:t>
      </w:r>
      <w:r/>
    </w:p>
    <w:p>
      <w:pPr>
        <w:pStyle w:val="675"/>
        <w:pBdr/>
        <w:spacing/>
        <w:ind/>
        <w:jc w:val="both"/>
        <w:rPr>
          <w:color w:val="2f5496"/>
        </w:rPr>
      </w:pPr>
      <w:r>
        <w:rPr>
          <w:color w:val="2f5496"/>
        </w:rPr>
        <w:t xml:space="preserve">L’épuisement des stocks de glycogène</w:t>
      </w:r>
      <w:r>
        <w:rPr>
          <w:color w:val="2f5496"/>
        </w:rPr>
      </w:r>
    </w:p>
    <w:p>
      <w:pPr>
        <w:pStyle w:val="672"/>
        <w:pBdr/>
        <w:spacing/>
        <w:ind/>
        <w:jc w:val="both"/>
        <w:rPr/>
      </w:pPr>
      <w:r>
        <w:t xml:space="preserve">Corrélation entre </w:t>
      </w:r>
      <w:r>
        <w:rPr>
          <w:i/>
          <w:color w:val="c55911"/>
          <w:sz w:val="20"/>
          <w:szCs w:val="20"/>
        </w:rPr>
        <w:t xml:space="preserve">sensation de fatigue et la diminution des stocks de glycogène</w:t>
      </w:r>
      <w:r>
        <w:t xml:space="preserve">. Le mur des 30km en marathon est peut-être relié à cette information.</w:t>
      </w:r>
      <w:r/>
    </w:p>
    <w:p>
      <w:pPr>
        <w:pStyle w:val="672"/>
        <w:pBdr/>
        <w:spacing/>
        <w:ind/>
        <w:jc w:val="both"/>
        <w:rPr/>
      </w:pPr>
      <w:r>
        <mc:AlternateContent>
          <mc:Choice Requires="wpg">
            <w:drawing>
              <wp:inline xmlns:wp="http://schemas.openxmlformats.org/drawingml/2006/wordprocessingDrawing" distT="0" distB="0" distL="0" distR="0">
                <wp:extent cx="5760720" cy="2315845"/>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pic:cNvPicPr>
                        <pic:nvPr/>
                      </pic:nvPicPr>
                      <pic:blipFill>
                        <a:blip r:embed="rId10"/>
                        <a:stretch/>
                      </pic:blipFill>
                      <pic:spPr bwMode="auto">
                        <a:xfrm>
                          <a:off x="0" y="0"/>
                          <a:ext cx="5760720" cy="231584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3.60pt;height:182.35pt;mso-wrap-distance-left:0.00pt;mso-wrap-distance-top:0.00pt;mso-wrap-distance-right:0.00pt;mso-wrap-distance-bottom:0.00pt;z-index:1;" stroked="false">
                <v:imagedata r:id="rId10" o:title=""/>
                <o:lock v:ext="edit" rotation="t"/>
              </v:shape>
            </w:pict>
          </mc:Fallback>
        </mc:AlternateContent>
      </w:r>
      <w:r/>
    </w:p>
    <w:p>
      <w:pPr>
        <w:pStyle w:val="672"/>
        <w:pBdr/>
        <w:spacing/>
        <w:ind/>
        <w:jc w:val="both"/>
        <w:rPr>
          <w:b/>
          <w:color w:val="538135"/>
          <w:sz w:val="22"/>
          <w:szCs w:val="22"/>
        </w:rPr>
      </w:pPr>
      <w:r>
        <w:rPr>
          <w:b/>
          <w:color w:val="538135"/>
          <w:sz w:val="22"/>
          <w:szCs w:val="22"/>
        </w:rPr>
        <w:t xml:space="preserve">Dans les fibres musculaires</w:t>
      </w:r>
      <w:r>
        <w:rPr>
          <w:b/>
          <w:color w:val="538135"/>
          <w:sz w:val="22"/>
          <w:szCs w:val="22"/>
        </w:rPr>
      </w:r>
    </w:p>
    <w:p>
      <w:pPr>
        <w:pStyle w:val="672"/>
        <w:numPr>
          <w:ilvl w:val="0"/>
          <w:numId w:val="2"/>
        </w:numPr>
        <w:pBdr/>
        <w:spacing w:after="0" w:before="0"/>
        <w:ind/>
        <w:jc w:val="both"/>
        <w:rPr/>
      </w:pPr>
      <w:r>
        <w:rPr>
          <w:color w:val="000000"/>
        </w:rPr>
        <w:t xml:space="preserve">Baisse en premier du glycogène dans les fibres de type I pour des efforts d’intensité faible</w:t>
      </w:r>
      <w:r/>
    </w:p>
    <w:p>
      <w:pPr>
        <w:pStyle w:val="672"/>
        <w:numPr>
          <w:ilvl w:val="0"/>
          <w:numId w:val="2"/>
        </w:numPr>
        <w:pBdr/>
        <w:spacing w:after="0" w:before="0"/>
        <w:ind/>
        <w:jc w:val="both"/>
        <w:rPr/>
      </w:pPr>
      <w:r>
        <w:rPr>
          <w:color w:val="000000"/>
        </w:rPr>
        <w:t xml:space="preserve">Mais l’épuisement en glycogène peut concerner tous les types de fibres</w:t>
      </w:r>
      <w:r/>
    </w:p>
    <w:p>
      <w:pPr>
        <w:pStyle w:val="672"/>
        <w:numPr>
          <w:ilvl w:val="0"/>
          <w:numId w:val="2"/>
        </w:numPr>
        <w:pBdr/>
        <w:spacing/>
        <w:ind/>
        <w:jc w:val="both"/>
        <w:rPr/>
      </w:pPr>
      <w:r>
        <w:rPr>
          <w:color w:val="000000"/>
        </w:rPr>
        <w:t xml:space="preserve">Dépend aussi du groupe musculaire</w:t>
      </w:r>
      <w:r/>
    </w:p>
    <w:p>
      <w:pPr>
        <w:pStyle w:val="672"/>
        <w:pBdr/>
        <w:spacing/>
        <w:ind/>
        <w:jc w:val="both"/>
        <w:rPr>
          <w:b/>
          <w:color w:val="538135"/>
          <w:sz w:val="22"/>
          <w:szCs w:val="22"/>
        </w:rPr>
      </w:pPr>
      <w:r>
        <w:rPr>
          <w:b/>
          <w:color w:val="538135"/>
          <w:sz w:val="22"/>
          <w:szCs w:val="22"/>
        </w:rPr>
        <w:t xml:space="preserve">L’épuisement des stocks de glycogène et glucose sanguin</w:t>
      </w:r>
      <w:r>
        <w:rPr>
          <w:b/>
          <w:color w:val="538135"/>
          <w:sz w:val="22"/>
          <w:szCs w:val="22"/>
        </w:rPr>
      </w:r>
    </w:p>
    <w:p>
      <w:pPr>
        <w:pStyle w:val="672"/>
        <w:pBdr/>
        <w:spacing/>
        <w:ind/>
        <w:jc w:val="both"/>
        <w:rPr/>
      </w:pPr>
      <w:r>
        <w:tab/>
        <w:t xml:space="preserve">Le foie, en dégradant ses stocks de glycogène permet de maintenir </w:t>
      </w:r>
      <w:r>
        <w:rPr>
          <w:i/>
          <w:color w:val="c55911"/>
          <w:sz w:val="20"/>
          <w:szCs w:val="20"/>
        </w:rPr>
        <w:t xml:space="preserve">constant le niveau de la glycémie</w:t>
      </w:r>
      <w:r>
        <w:t xml:space="preserve">. L’utilisation du glucose sanguin parait relativement </w:t>
      </w:r>
      <w:r>
        <w:rPr>
          <w:b/>
          <w:i/>
          <w:color w:val="c55911"/>
          <w:sz w:val="20"/>
          <w:szCs w:val="20"/>
        </w:rPr>
        <w:t xml:space="preserve">faible</w:t>
      </w:r>
      <w:r>
        <w:t xml:space="preserve"> au début de l’exercice, mais devient beaucoup plus i</w:t>
      </w:r>
      <w:r>
        <w:t xml:space="preserve">mportante au bout d’un certain temps. Le foie doit ainsi dégrader de plus en plus de glycogène au fur et à mesure que l’exercice se prolonge. Les stocks de glycogène hépatique sont limités et la reconstitution du glucose par le foie est relativement lente.</w:t>
      </w:r>
      <w:r/>
    </w:p>
    <w:p>
      <w:pPr>
        <w:pStyle w:val="672"/>
        <w:pBdr/>
        <w:spacing/>
        <w:ind/>
        <w:jc w:val="both"/>
        <w:rPr>
          <w:b/>
          <w:i/>
          <w:color w:val="c00000"/>
          <w:sz w:val="20"/>
          <w:szCs w:val="20"/>
        </w:rPr>
      </w:pPr>
      <w:r>
        <w:tab/>
      </w:r>
      <w:r>
        <w:rPr>
          <w:color w:val="c00000"/>
        </w:rPr>
        <w:t xml:space="preserve">La performance en endurance </w:t>
      </w:r>
      <w:r>
        <w:rPr>
          <w:i/>
          <w:color w:val="c00000"/>
        </w:rPr>
        <w:t xml:space="preserve">(</w:t>
      </w:r>
      <w:r>
        <w:rPr>
          <w:i/>
          <w:color w:val="404040"/>
        </w:rPr>
        <w:t xml:space="preserve">60 à 90min</w:t>
      </w:r>
      <w:r>
        <w:rPr>
          <w:i/>
          <w:color w:val="c00000"/>
        </w:rPr>
        <w:t xml:space="preserve">)</w:t>
      </w:r>
      <w:r>
        <w:rPr>
          <w:color w:val="c00000"/>
        </w:rPr>
        <w:t xml:space="preserve"> est donc </w:t>
      </w:r>
      <w:r>
        <w:rPr>
          <w:b/>
          <w:i/>
          <w:color w:val="c00000"/>
          <w:sz w:val="20"/>
          <w:szCs w:val="20"/>
        </w:rPr>
        <w:t xml:space="preserve">directement conditionnée par les stocks de glycogène musculaire présents au début de l’exercice.</w:t>
      </w:r>
      <w:r>
        <w:rPr>
          <w:b/>
          <w:i/>
          <w:color w:val="c00000"/>
          <w:sz w:val="20"/>
          <w:szCs w:val="20"/>
        </w:rPr>
      </w:r>
    </w:p>
    <w:p>
      <w:pPr>
        <w:pStyle w:val="672"/>
        <w:pBdr/>
        <w:spacing/>
        <w:ind/>
        <w:jc w:val="both"/>
        <w:rPr>
          <w:b/>
          <w:color w:val="538135"/>
          <w:sz w:val="22"/>
          <w:szCs w:val="22"/>
        </w:rPr>
      </w:pPr>
      <w:r>
        <w:rPr>
          <w:b/>
          <w:color w:val="538135"/>
          <w:sz w:val="22"/>
          <w:szCs w:val="22"/>
        </w:rPr>
        <w:t xml:space="preserve">Mécanismes de la fatigue associés à la déplétion en glycogène</w:t>
      </w:r>
      <w:r>
        <w:rPr>
          <w:b/>
          <w:color w:val="538135"/>
          <w:sz w:val="22"/>
          <w:szCs w:val="22"/>
        </w:rPr>
      </w:r>
    </w:p>
    <w:p>
      <w:pPr>
        <w:pStyle w:val="672"/>
        <w:pBdr/>
        <w:spacing/>
        <w:ind w:firstLine="708"/>
        <w:jc w:val="both"/>
        <w:rPr>
          <w:color w:val="c00000"/>
        </w:rPr>
      </w:pPr>
      <w:r>
        <w:t xml:space="preserve">On pourrait supposer qu’un manque de glycogène pourrait </w:t>
      </w:r>
      <w:r>
        <w:rPr>
          <w:i/>
          <w:color w:val="c55911"/>
          <w:sz w:val="20"/>
          <w:szCs w:val="20"/>
        </w:rPr>
        <w:t xml:space="preserve">altérer la production d’ATP</w:t>
      </w:r>
      <w:r>
        <w:t xml:space="preserve">, mais il semblerait que la </w:t>
      </w:r>
      <w:r>
        <w:rPr>
          <w:color w:val="c00000"/>
        </w:rPr>
        <w:t xml:space="preserve">déplétion du glycogène stocké dans les myofibrilles interfère avec le couplage excitation-contraction et la libération du calcium du réticulum sarcoplasmique.</w:t>
      </w:r>
      <w:r>
        <w:rPr>
          <w:color w:val="c00000"/>
        </w:rPr>
      </w:r>
    </w:p>
    <w:p>
      <w:pPr>
        <w:pStyle w:val="674"/>
        <w:pBdr/>
        <w:spacing/>
        <w:ind/>
        <w:rPr>
          <w:highlight w:val="none"/>
        </w:rPr>
      </w:pPr>
      <w:r>
        <w:rPr>
          <w:highlight w:val="none"/>
        </w:rPr>
        <w:t xml:space="preserve">Aspects mécano-chimiques</w:t>
      </w:r>
      <w:r>
        <w:rPr>
          <w:highlight w:val="none"/>
        </w:rPr>
      </w:r>
    </w:p>
    <w:p>
      <w:pPr>
        <w:pStyle w:val="672"/>
        <w:pBdr/>
        <w:spacing/>
        <w:ind/>
        <w:rPr/>
      </w:pPr>
      <w:r>
        <w:t xml:space="preserve">Typologie des fibres influence l’apparition de la fatigue. Pas tant à cause de l’isoforme de la chaine lourde de myosine mais plutôt à cause de la densité mitochondriale et de la capacité d’utilisation du métabolisme oxydatif.</w:t>
      </w:r>
      <w:r/>
    </w:p>
    <w:p>
      <w:pPr>
        <w:pStyle w:val="672"/>
        <w:pBdr/>
        <w:spacing/>
        <w:ind/>
        <w:rPr/>
      </w:pPr>
      <w:r>
        <w:t xml:space="preserve">La fatigue génère, qq soit le type de fibre, une réduction de la puissance, du pic tétanique, un temps de contraction prolongé, un demi temps de relâchement prolongé.</w:t>
      </w:r>
      <w:r/>
    </w:p>
    <w:p>
      <w:pPr>
        <w:pStyle w:val="674"/>
        <w:pBdr/>
        <w:spacing/>
        <w:ind/>
        <w:jc w:val="both"/>
        <w:rPr/>
      </w:pPr>
      <w:r>
        <w:t xml:space="preserve">Les sous-produits métaboliques de la fati</w:t>
      </w:r>
      <w:r>
        <mc:AlternateContent>
          <mc:Choice Requires="wpg">
            <w:drawing>
              <wp:anchor xmlns:wp="http://schemas.openxmlformats.org/drawingml/2006/wordprocessingDrawing" xmlns:wp14="http://schemas.microsoft.com/office/word/2010/wordprocessingDrawing" distT="0" distB="0" distL="114300" distR="114300" simplePos="0" relativeHeight="3" behindDoc="0" locked="0" layoutInCell="0" allowOverlap="1">
                <wp:simplePos x="0" y="0"/>
                <wp:positionH relativeFrom="column">
                  <wp:posOffset>3831590</wp:posOffset>
                </wp:positionH>
                <wp:positionV relativeFrom="paragraph">
                  <wp:posOffset>-104775</wp:posOffset>
                </wp:positionV>
                <wp:extent cx="2059940" cy="4076700"/>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pic:cNvPicPr>
                        <pic:nvPr/>
                      </pic:nvPicPr>
                      <pic:blipFill>
                        <a:blip r:embed="rId11"/>
                        <a:stretch/>
                      </pic:blipFill>
                      <pic:spPr bwMode="auto">
                        <a:xfrm>
                          <a:off x="0" y="0"/>
                          <a:ext cx="2059940" cy="40766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o:allowoverlap:true;o:allowincell:false;mso-position-horizontal-relative:text;margin-left:301.70pt;mso-position-horizontal:absolute;mso-position-vertical-relative:text;margin-top:-8.25pt;mso-position-vertical:absolute;width:162.20pt;height:321.00pt;mso-wrap-distance-left:9.00pt;mso-wrap-distance-top:0.00pt;mso-wrap-distance-right:9.00pt;mso-wrap-distance-bottom:0.00pt;z-index:1;" stroked="false">
                <w10:wrap type="square"/>
                <v:imagedata r:id="rId11" o:title=""/>
                <o:lock v:ext="edit" rotation="t"/>
              </v:shape>
            </w:pict>
          </mc:Fallback>
        </mc:AlternateContent>
      </w:r>
      <w:r>
        <w:t xml:space="preserve">gue</w:t>
      </w:r>
      <w:r/>
    </w:p>
    <w:p>
      <w:pPr>
        <w:pStyle w:val="675"/>
        <w:pBdr/>
        <w:spacing/>
        <w:ind/>
        <w:jc w:val="both"/>
        <w:rPr>
          <w:color w:val="2f5496"/>
        </w:rPr>
      </w:pPr>
      <w:r>
        <w:rPr>
          <w:color w:val="2f5496"/>
        </w:rPr>
        <w:t xml:space="preserve">Le Phosphate inorganique et la fatigue</w:t>
      </w:r>
      <w:r>
        <w:rPr>
          <w:color w:val="2f5496"/>
        </w:rPr>
      </w:r>
    </w:p>
    <w:p>
      <w:pPr>
        <w:pStyle w:val="672"/>
        <w:pBdr/>
        <w:spacing/>
        <w:ind w:firstLine="708"/>
        <w:jc w:val="both"/>
        <w:rPr>
          <w:i/>
          <w:color w:val="2e75b5"/>
        </w:rPr>
      </w:pPr>
      <w:r>
        <w:t xml:space="preserve">L’excès de Pi </w:t>
      </w:r>
      <w:r>
        <w:rPr>
          <w:i/>
          <w:color w:val="c55911"/>
          <w:sz w:val="20"/>
          <w:szCs w:val="20"/>
        </w:rPr>
        <w:t xml:space="preserve">détériorerait directement la fonction contractile des myofibrilles</w:t>
      </w:r>
      <w:r>
        <w:t xml:space="preserve"> et réduirait la libération du calcium du réticulum sarcoplasmique </w:t>
      </w:r>
      <w:r>
        <w:t xml:space="preserve">en se liant au calcium</w:t>
      </w:r>
      <w:r>
        <w:t xml:space="preserve">. Et </w:t>
      </w:r>
      <w:r>
        <w:rPr>
          <w:color w:val="c00000"/>
        </w:rPr>
        <w:t xml:space="preserve">l’augmentation du Pi et l’ADP inhiberait la production d’ATP par feedback négatif. </w:t>
      </w:r>
      <w:r>
        <w:rPr>
          <w:i/>
          <w:color w:val="2e75b5"/>
        </w:rPr>
        <w:t xml:space="preserve">(Une enzyme va se limiter si le produit de la réaction est en grande quantité).</w:t>
      </w:r>
      <w:r>
        <w:rPr>
          <w:i/>
          <w:color w:val="2e75b5"/>
        </w:rPr>
      </w:r>
    </w:p>
    <w:p>
      <w:pPr>
        <w:pStyle w:val="675"/>
        <w:pBdr/>
        <w:spacing/>
        <w:ind/>
        <w:jc w:val="both"/>
        <w:rPr>
          <w:color w:val="2f5496"/>
        </w:rPr>
      </w:pPr>
      <w:r>
        <w:rPr>
          <w:color w:val="2f5496"/>
        </w:rPr>
        <w:t xml:space="preserve">Chaleur, température musculaire et fatigue</w:t>
      </w:r>
      <w:r>
        <w:rPr>
          <w:color w:val="2f5496"/>
        </w:rPr>
      </w:r>
    </w:p>
    <w:p>
      <w:pPr>
        <w:pStyle w:val="672"/>
        <w:pBdr/>
        <w:spacing/>
        <w:ind w:firstLine="708"/>
        <w:jc w:val="both"/>
        <w:rPr>
          <w:color w:val="c00000"/>
        </w:rPr>
      </w:pPr>
      <w:r>
        <w:t xml:space="preserve">Il semblerait que </w:t>
      </w:r>
      <w:r>
        <w:rPr>
          <w:i/>
          <w:color w:val="c55911"/>
          <w:sz w:val="20"/>
          <w:szCs w:val="20"/>
        </w:rPr>
        <w:t xml:space="preserve">la chaleur et l’humidité relative de l’air aient un impact sur la fatigue</w:t>
      </w:r>
      <w:r>
        <w:t xml:space="preserve"> ; en effet la contraction musculaire produit de la chaleur et certains chercheurs font l’hypothèse qu’une </w:t>
      </w:r>
      <w:r>
        <w:rPr>
          <w:color w:val="c00000"/>
        </w:rPr>
        <w:t xml:space="preserve">forte température musculaire exerce des effets néfastes à la fois sur la fonction et le métabolisme musculaire. </w:t>
      </w:r>
      <w:r>
        <w:rPr>
          <w:color w:val="c00000"/>
        </w:rPr>
      </w:r>
    </w:p>
    <w:p>
      <w:pPr>
        <w:pStyle w:val="672"/>
        <w:pBdr/>
        <w:spacing/>
        <w:ind w:firstLine="708"/>
        <w:jc w:val="both"/>
        <w:rPr>
          <w:i/>
          <w:color w:val="767171"/>
          <w:sz w:val="20"/>
          <w:szCs w:val="20"/>
        </w:rPr>
      </w:pPr>
      <w:r>
        <w:rPr>
          <w:i/>
          <w:color w:val="767171"/>
          <w:sz w:val="20"/>
          <w:szCs w:val="20"/>
        </w:rPr>
        <w:t xml:space="preserve">Tâche d’exercice sur un ergocycle à 70% de VO2 max chez des hommes cyclistes.</w:t>
        <w:br/>
      </w:r>
      <w:r>
        <w:rPr>
          <w:i/>
          <w:color w:val="767171"/>
          <w:sz w:val="20"/>
          <w:szCs w:val="20"/>
        </w:rPr>
      </w:r>
    </w:p>
    <w:p>
      <w:pPr>
        <w:pStyle w:val="675"/>
        <w:pBdr/>
        <w:spacing w:after="0" w:before="0"/>
        <w:ind/>
        <w:jc w:val="both"/>
        <w:rPr>
          <w:color w:val="2f5496"/>
        </w:rPr>
      </w:pPr>
      <w:r>
        <w:rPr>
          <w:color w:val="2f5496"/>
        </w:rPr>
        <w:t xml:space="preserve">Acide lactique</w:t>
      </w:r>
      <w:r>
        <w:rPr>
          <w:color w:val="2f5496"/>
        </w:rPr>
      </w:r>
    </w:p>
    <w:p>
      <w:pPr>
        <w:pStyle w:val="672"/>
        <w:pBdr/>
        <w:spacing/>
        <w:ind w:firstLine="708"/>
        <w:jc w:val="both"/>
        <w:rPr/>
      </w:pPr>
      <w:r>
        <w:t xml:space="preserve">L’acide lactique, un sous-produit de la glycolyse</w:t>
      </w:r>
      <w:r>
        <w:rPr>
          <w:i/>
          <w:color w:val="c55911"/>
          <w:sz w:val="20"/>
          <w:szCs w:val="20"/>
        </w:rPr>
        <w:t xml:space="preserve">, est recyclé pour fournir de l’énergie soit dans la même cellule, soit dans une autre</w:t>
      </w:r>
      <w:r>
        <w:t xml:space="preserve">. Il ne s’accumule à l’intérieur des fibres musculaires que lors d’exercices </w:t>
      </w:r>
      <w:r>
        <w:rPr>
          <w:color w:val="c00000"/>
        </w:rPr>
        <w:t xml:space="preserve">relativement brefs mais très intenses</w:t>
      </w:r>
      <w:r>
        <w:t xml:space="preserve">. Les marathoniens par exemple n’ont un taux d’acide lactique à peine plus élevé qu’au repos.</w:t>
      </w:r>
      <w:r/>
    </w:p>
    <w:p>
      <w:pPr>
        <w:pStyle w:val="675"/>
        <w:pBdr/>
        <w:spacing/>
        <w:ind/>
        <w:jc w:val="both"/>
        <w:rPr>
          <w:color w:val="2f5496"/>
        </w:rPr>
      </w:pPr>
      <w:r>
        <w:rPr>
          <w:color w:val="2f5496"/>
        </w:rPr>
        <w:t xml:space="preserve">Ions hyrdogènes</w:t>
      </w:r>
      <w:r>
        <w:rPr>
          <w:color w:val="2f5496"/>
        </w:rPr>
      </w:r>
    </w:p>
    <w:p>
      <w:pPr>
        <w:pStyle w:val="672"/>
        <w:pBdr/>
        <w:spacing/>
        <w:ind/>
        <w:jc w:val="both"/>
        <w:rPr/>
      </w:pPr>
      <w:r>
        <w:tab/>
        <w:t xml:space="preserve">Les activités de </w:t>
      </w:r>
      <w:r>
        <w:rPr>
          <w:i/>
          <w:color w:val="c55911"/>
          <w:sz w:val="20"/>
          <w:szCs w:val="20"/>
        </w:rPr>
        <w:t xml:space="preserve">courte durée et de haute intensité</w:t>
      </w:r>
      <w:r>
        <w:t xml:space="preserve"> dépendent fortement de la </w:t>
      </w:r>
      <w:r>
        <w:rPr>
          <w:b/>
          <w:i/>
          <w:color w:val="c55911"/>
          <w:sz w:val="20"/>
          <w:szCs w:val="20"/>
        </w:rPr>
        <w:t xml:space="preserve">glycolyse</w:t>
      </w:r>
      <w:r>
        <w:t xml:space="preserve"> et conduisent donc à </w:t>
      </w:r>
      <w:r>
        <w:rPr>
          <w:color w:val="c00000"/>
        </w:rPr>
        <w:t xml:space="preserve">une production importante de lactate et d’ions H</w:t>
      </w:r>
      <w:r>
        <w:rPr>
          <w:color w:val="c00000"/>
          <w:vertAlign w:val="superscript"/>
        </w:rPr>
        <w:t xml:space="preserve">+</w:t>
      </w:r>
      <w:r>
        <w:rPr>
          <w:color w:val="c00000"/>
        </w:rPr>
        <w:t xml:space="preserve">. </w:t>
      </w:r>
      <w:r>
        <w:t xml:space="preserve">Le corps possède </w:t>
      </w:r>
      <w:r>
        <w:rPr>
          <w:color w:val="2f5496"/>
        </w:rPr>
        <w:t xml:space="preserve">des systèmes tampons </w:t>
      </w:r>
      <w:r>
        <w:t xml:space="preserve">comme le </w:t>
      </w:r>
      <w:r>
        <w:rPr>
          <w:color w:val="538135"/>
        </w:rPr>
        <w:t xml:space="preserve">bicarbonate (HCO</w:t>
      </w:r>
      <w:r>
        <w:rPr>
          <w:color w:val="538135"/>
          <w:vertAlign w:val="subscript"/>
        </w:rPr>
        <w:t xml:space="preserve">3</w:t>
      </w:r>
      <w:r>
        <w:rPr>
          <w:color w:val="538135"/>
          <w:vertAlign w:val="superscript"/>
        </w:rPr>
        <w:t xml:space="preserve">-</w:t>
      </w:r>
      <w:r>
        <w:rPr>
          <w:color w:val="538135"/>
        </w:rPr>
        <w:t xml:space="preserve">) </w:t>
      </w:r>
      <w:r>
        <w:t xml:space="preserve">qui limitent l’acidose mais sans eux le pH baisserait </w:t>
      </w:r>
      <w:r>
        <w:rPr>
          <w:color w:val="538135"/>
        </w:rPr>
        <w:t xml:space="preserve">jusqu’à 1,5</w:t>
      </w:r>
      <w:r>
        <w:t xml:space="preserve"> entrainant la mort de cellules. Il ne baisse en réalité qu’à </w:t>
      </w:r>
      <w:r>
        <w:rPr>
          <w:color w:val="538135"/>
        </w:rPr>
        <w:t xml:space="preserve">environ 6,4</w:t>
      </w:r>
      <w:r>
        <mc:AlternateContent>
          <mc:Choice Requires="wpg">
            <w:drawing>
              <wp:anchor xmlns:wp="http://schemas.openxmlformats.org/drawingml/2006/wordprocessingDrawing" xmlns:wp14="http://schemas.microsoft.com/office/word/2010/wordprocessingDrawing" distT="0" distB="0" distL="114300" distR="114300" simplePos="0" relativeHeight="4" behindDoc="0" locked="0" layoutInCell="0" allowOverlap="1">
                <wp:simplePos x="0" y="0"/>
                <wp:positionH relativeFrom="column">
                  <wp:posOffset>3154045</wp:posOffset>
                </wp:positionH>
                <wp:positionV relativeFrom="paragraph">
                  <wp:posOffset>819150</wp:posOffset>
                </wp:positionV>
                <wp:extent cx="2819400" cy="2522220"/>
                <wp:effectExtent l="0" t="0" r="0" b="0"/>
                <wp:wrapSquare wrapText="bothSides"/>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pic:cNvPicPr>
                        <pic:nvPr/>
                      </pic:nvPicPr>
                      <pic:blipFill>
                        <a:blip r:embed="rId12"/>
                        <a:stretch/>
                      </pic:blipFill>
                      <pic:spPr bwMode="auto">
                        <a:xfrm>
                          <a:off x="0" y="0"/>
                          <a:ext cx="2819400" cy="252222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4;o:allowoverlap:true;o:allowincell:false;mso-position-horizontal-relative:text;margin-left:248.35pt;mso-position-horizontal:absolute;mso-position-vertical-relative:text;margin-top:64.50pt;mso-position-vertical:absolute;width:222.00pt;height:198.60pt;mso-wrap-distance-left:9.00pt;mso-wrap-distance-top:0.00pt;mso-wrap-distance-right:9.00pt;mso-wrap-distance-bottom:0.00pt;z-index:1;" stroked="false">
                <w10:wrap type="square"/>
                <v:imagedata r:id="rId12" o:title=""/>
                <o:lock v:ext="edit" rotation="t"/>
              </v:shape>
            </w:pict>
          </mc:Fallback>
        </mc:AlternateContent>
      </w:r>
      <w:r>
        <w:t xml:space="preserve"> lors de l’épuisement.</w:t>
      </w:r>
      <w:r/>
    </w:p>
    <w:p>
      <w:pPr>
        <w:pStyle w:val="672"/>
        <w:pBdr/>
        <w:spacing/>
        <w:ind/>
        <w:jc w:val="both"/>
        <w:rPr>
          <w:i/>
          <w:color w:val="c55911"/>
          <w:sz w:val="20"/>
          <w:szCs w:val="20"/>
        </w:rPr>
      </w:pPr>
      <w:r>
        <w:tab/>
        <w:t xml:space="preserve">Un </w:t>
      </w:r>
      <w:r>
        <w:rPr>
          <w:color w:val="538135"/>
        </w:rPr>
        <w:t xml:space="preserve">pH inférieur à 6,9 </w:t>
      </w:r>
      <w:r>
        <w:rPr>
          <w:color w:val="c00000"/>
        </w:rPr>
        <w:t xml:space="preserve">inhibe la phosphofructokinase (PFK)</w:t>
      </w:r>
      <w:r>
        <w:t xml:space="preserve">, et à </w:t>
      </w:r>
      <w:r>
        <w:rPr>
          <w:color w:val="538135"/>
        </w:rPr>
        <w:t xml:space="preserve">6,4</w:t>
      </w:r>
      <w:r>
        <w:rPr>
          <w:i/>
          <w:color w:val="538135"/>
          <w:sz w:val="20"/>
          <w:szCs w:val="20"/>
        </w:rPr>
        <w:t xml:space="preserve"> </w:t>
      </w:r>
      <w:r>
        <w:rPr>
          <w:i/>
          <w:color w:val="c55911"/>
          <w:sz w:val="20"/>
          <w:szCs w:val="20"/>
        </w:rPr>
        <w:t xml:space="preserve">il y a un arrêt de toute dégradation du glycogène. </w:t>
      </w:r>
      <w:r>
        <w:rPr>
          <w:i/>
          <w:color w:val="c55911"/>
          <w:sz w:val="20"/>
          <w:szCs w:val="20"/>
        </w:rPr>
      </w:r>
    </w:p>
    <w:p>
      <w:pPr>
        <w:pStyle w:val="672"/>
        <w:pBdr/>
        <w:spacing/>
        <w:ind/>
        <w:jc w:val="both"/>
        <w:rPr>
          <w:i/>
          <w:color w:val="c55911"/>
          <w:sz w:val="20"/>
          <w:szCs w:val="20"/>
        </w:rPr>
      </w:pPr>
      <w:r>
        <w:tab/>
        <w:t xml:space="preserve">Les protons peuvent perturber les mouvements du calcium, altérant le couplage actine myosine en réduisant l’affinité de la troponine C avec le calcium, </w:t>
      </w:r>
      <w:r>
        <w:rPr>
          <w:i/>
          <w:color w:val="c55911"/>
          <w:sz w:val="20"/>
          <w:szCs w:val="20"/>
        </w:rPr>
        <w:t xml:space="preserve">mais l’impact serait faible.</w:t>
      </w:r>
      <w:r>
        <w:rPr>
          <w:i/>
          <w:color w:val="c55911"/>
          <w:sz w:val="20"/>
          <w:szCs w:val="20"/>
        </w:rPr>
      </w:r>
    </w:p>
    <w:p>
      <w:pPr>
        <w:pStyle w:val="672"/>
        <w:pBdr/>
        <w:spacing/>
        <w:ind/>
        <w:jc w:val="both"/>
        <w:rPr>
          <w:color w:val="c00000"/>
        </w:rPr>
      </w:pPr>
      <w:r>
        <w:tab/>
        <w:t xml:space="preserve">Un effet plus important provient de la </w:t>
      </w:r>
      <w:r>
        <w:rPr>
          <w:color w:val="c00000"/>
        </w:rPr>
        <w:t xml:space="preserve">diminution de la sensibilité des myofilaments au calcium et ralentit la reprise des ions calcium au niveau du réticulum sarcoplasmique. </w:t>
      </w:r>
      <w:r>
        <w:t xml:space="preserve">provoquant une </w:t>
      </w:r>
      <w:r>
        <w:rPr>
          <w:color w:val="2f5496"/>
        </w:rPr>
        <w:t xml:space="preserve">perte de force et de vitesse contractile.</w:t>
      </w:r>
      <w:r>
        <w:rPr>
          <w:color w:val="c00000"/>
        </w:rPr>
      </w:r>
    </w:p>
    <w:p>
      <w:pPr>
        <w:pBdr/>
        <w:spacing/>
        <w:ind w:firstLine="708"/>
        <w:jc w:val="both"/>
        <w:rPr>
          <w14:ligatures w14:val="none"/>
        </w:rPr>
      </w:pPr>
      <w:r>
        <w:t xml:space="preserve">Mais l’acide lactique n’explique que partiellement l’augmentation du taux de protons intra</w:t>
      </w:r>
      <w:r>
        <w:t xml:space="preserve">musculaire. En effet, la relation ions H+/lactate est dans un rapport plus proche de 3 que de 1.</w:t>
      </w:r>
      <w:r/>
    </w:p>
    <w:p>
      <w:pPr>
        <w:pBdr/>
        <w:spacing/>
        <w:ind w:firstLine="708"/>
        <w:jc w:val="both"/>
        <w:rPr>
          <w:shd w:val="clear" w:color="auto" w:fill="ffff00"/>
          <w14:ligatures w14:val="none"/>
        </w:rPr>
      </w:pPr>
      <w:r>
        <w:t xml:space="preserve">Acidose plutôt mécanisme de fatigue centrale ? A nuancer au niveau musculaire (Guevel et al. 2011)</w:t>
      </w:r>
      <w:r/>
    </w:p>
    <w:p>
      <w:pPr>
        <w:pStyle w:val="674"/>
        <w:pBdr/>
        <w:spacing/>
        <w:ind/>
        <w:jc w:val="both"/>
        <w:rPr/>
      </w:pPr>
      <w:r>
        <w:t xml:space="preserve">La fatigue neuromusculaire</w:t>
      </w:r>
      <w:r/>
    </w:p>
    <w:p>
      <w:pPr>
        <w:pStyle w:val="672"/>
        <w:pBdr/>
        <w:spacing/>
        <w:ind w:firstLine="708"/>
        <w:jc w:val="both"/>
        <w:rPr/>
      </w:pPr>
      <w:r>
        <w:rPr>
          <w:i/>
          <w:color w:val="c55911"/>
          <w:sz w:val="20"/>
          <w:szCs w:val="20"/>
        </w:rPr>
        <w:t xml:space="preserve">Deux</w:t>
      </w:r>
      <w:r>
        <w:t xml:space="preserve"> mécanismes nerveux, </w:t>
      </w:r>
      <w:r>
        <w:rPr>
          <w:color w:val="538135"/>
        </w:rPr>
        <w:t xml:space="preserve">un central l’autre périphérique</w:t>
      </w:r>
      <w:r>
        <w:t xml:space="preserve">, sont susceptibles de perturber le déroulement normal des processus de contraction musculaire et contribuer alors à l’apparition de la fatigue.</w:t>
      </w:r>
      <w:r/>
    </w:p>
    <w:p>
      <w:pPr>
        <w:pStyle w:val="675"/>
        <w:pBdr/>
        <w:spacing/>
        <w:ind/>
        <w:jc w:val="both"/>
        <w:rPr/>
      </w:pPr>
      <w:r>
        <w:t xml:space="preserve">La transmission nerveuse</w:t>
      </w:r>
      <w:r/>
    </w:p>
    <w:p>
      <w:pPr>
        <w:pStyle w:val="672"/>
        <w:pBdr/>
        <w:spacing/>
        <w:ind/>
        <w:jc w:val="both"/>
        <w:rPr>
          <w:color w:val="c00000"/>
        </w:rPr>
      </w:pPr>
      <w:r>
        <w:t xml:space="preserve">Le premier de ces mécanismes se produit au </w:t>
      </w:r>
      <w:r>
        <w:rPr>
          <w:b/>
          <w:i/>
          <w:color w:val="c55911"/>
          <w:sz w:val="20"/>
          <w:szCs w:val="20"/>
        </w:rPr>
        <w:t xml:space="preserve">niveau de la plaque motrice,</w:t>
      </w:r>
      <w:r>
        <w:t xml:space="preserve"> </w:t>
      </w:r>
      <w:r>
        <w:rPr>
          <w:color w:val="2f5496"/>
        </w:rPr>
        <w:t xml:space="preserve">empêchant la transmission de l’influx nerveux à la fibre musculaire</w:t>
      </w:r>
      <w:r>
        <w:t xml:space="preserve">. Ce dysfonctionnement fait </w:t>
      </w:r>
      <w:r>
        <w:rPr>
          <w:color w:val="c00000"/>
        </w:rPr>
        <w:t xml:space="preserve">intervenir un ou plusieurs des processus suivants :</w:t>
      </w:r>
      <w:r>
        <w:rPr>
          <w:color w:val="c00000"/>
        </w:rPr>
      </w:r>
    </w:p>
    <w:p>
      <w:pPr>
        <w:pStyle w:val="672"/>
        <w:numPr>
          <w:ilvl w:val="0"/>
          <w:numId w:val="3"/>
        </w:numPr>
        <w:pBdr/>
        <w:spacing w:after="0" w:before="0"/>
        <w:ind/>
        <w:jc w:val="both"/>
        <w:rPr/>
      </w:pPr>
      <w:r>
        <w:rPr>
          <w:color w:val="000000"/>
        </w:rPr>
        <w:t xml:space="preserve">Une</w:t>
      </w:r>
      <w:r>
        <w:rPr>
          <w:color w:val="c00000"/>
        </w:rPr>
        <w:t xml:space="preserve"> diminution de la libération ou de la synthèse de l’acétylcholine,</w:t>
      </w:r>
      <w:r>
        <w:rPr>
          <w:color w:val="000000"/>
        </w:rPr>
        <w:t xml:space="preserve"> du nerf moteur à la membrane musculaire</w:t>
      </w:r>
      <w:r/>
    </w:p>
    <w:p>
      <w:pPr>
        <w:pStyle w:val="672"/>
        <w:numPr>
          <w:ilvl w:val="0"/>
          <w:numId w:val="3"/>
        </w:numPr>
        <w:pBdr/>
        <w:spacing w:after="0" w:before="0"/>
        <w:ind/>
        <w:jc w:val="both"/>
        <w:rPr/>
      </w:pPr>
      <w:r>
        <w:rPr>
          <w:color w:val="000000"/>
        </w:rPr>
        <w:t xml:space="preserve">Une </w:t>
      </w:r>
      <w:r>
        <w:rPr>
          <w:color w:val="c00000"/>
        </w:rPr>
        <w:t xml:space="preserve">hyperactivité de la cholinestérase</w:t>
      </w:r>
      <w:r>
        <w:rPr>
          <w:color w:val="000000"/>
        </w:rPr>
        <w:t xml:space="preserve">. En </w:t>
      </w:r>
      <w:r>
        <w:rPr>
          <w:color w:val="2f5496"/>
        </w:rPr>
        <w:t xml:space="preserve">diminuant la concentration d’Ach au niveau de la plaque motrice, elle diminue d’autant les possibilités d’apparition du PA</w:t>
      </w:r>
      <w:r/>
    </w:p>
    <w:p>
      <w:pPr>
        <w:pStyle w:val="672"/>
        <w:numPr>
          <w:ilvl w:val="0"/>
          <w:numId w:val="3"/>
        </w:numPr>
        <w:pBdr/>
        <w:spacing w:after="0" w:before="0"/>
        <w:ind/>
        <w:jc w:val="both"/>
        <w:rPr>
          <w:color w:val="2f5496"/>
        </w:rPr>
      </w:pPr>
      <w:r>
        <w:rPr>
          <w:color w:val="000000"/>
        </w:rPr>
        <w:t xml:space="preserve">A l’inverse une </w:t>
      </w:r>
      <w:r>
        <w:rPr>
          <w:color w:val="c00000"/>
        </w:rPr>
        <w:t xml:space="preserve">hypoactivité de la cholinestérase</w:t>
      </w:r>
      <w:r>
        <w:rPr>
          <w:color w:val="000000"/>
        </w:rPr>
        <w:t xml:space="preserve">. </w:t>
      </w:r>
      <w:r>
        <w:rPr>
          <w:color w:val="2f5496"/>
        </w:rPr>
        <w:t xml:space="preserve">Elle contribue à une accumulation d’Ach en excès ce qui paralyse la fibre musculaire</w:t>
      </w:r>
      <w:r>
        <w:rPr>
          <w:color w:val="2f5496"/>
        </w:rPr>
      </w:r>
    </w:p>
    <w:p>
      <w:pPr>
        <w:pStyle w:val="672"/>
        <w:numPr>
          <w:ilvl w:val="0"/>
          <w:numId w:val="3"/>
        </w:numPr>
        <w:pBdr/>
        <w:spacing w:after="0" w:before="0"/>
        <w:ind/>
        <w:jc w:val="both"/>
        <w:rPr/>
      </w:pPr>
      <w:r>
        <w:rPr>
          <w:color w:val="000000"/>
          <w:position w:val="0"/>
          <w:sz w:val="21"/>
          <w:vertAlign w:val="baseline"/>
        </w:rPr>
        <w:t xml:space="preserve">Diminution de l’activité des pompes Na/K : visible par l’accumulation de K</w:t>
      </w:r>
      <w:r>
        <w:rPr>
          <w:color w:val="000000"/>
          <w:vertAlign w:val="superscript"/>
        </w:rPr>
        <w:t xml:space="preserve">+</w:t>
      </w:r>
      <w:r>
        <w:rPr>
          <w:color w:val="000000"/>
          <w:position w:val="0"/>
          <w:sz w:val="21"/>
          <w:vertAlign w:val="baseline"/>
        </w:rPr>
        <w:t xml:space="preserve"> dans l’espace interstitiel (puis accumulation dans le sang) </w:t>
      </w:r>
      <w:r/>
    </w:p>
    <w:p>
      <w:pPr>
        <w:pStyle w:val="672"/>
        <w:numPr>
          <w:ilvl w:val="0"/>
          <w:numId w:val="3"/>
        </w:numPr>
        <w:pBdr/>
        <w:spacing/>
        <w:ind/>
        <w:jc w:val="both"/>
        <w:rPr>
          <w:color w:val="2f5496"/>
        </w:rPr>
      </w:pPr>
      <w:r>
        <w:rPr>
          <w:color w:val="c00000"/>
          <w:position w:val="0"/>
          <w:sz w:val="21"/>
          <w:vertAlign w:val="baseline"/>
        </w:rPr>
        <w:t xml:space="preserve">La libération du potassium </w:t>
      </w:r>
      <w:r>
        <w:rPr>
          <w:color w:val="000000"/>
          <w:position w:val="0"/>
          <w:sz w:val="21"/>
          <w:vertAlign w:val="baseline"/>
        </w:rPr>
        <w:t xml:space="preserve">hors du milieu musculaire</w:t>
      </w:r>
      <w:r>
        <w:rPr>
          <w:color w:val="2f5496"/>
          <w:position w:val="0"/>
          <w:sz w:val="21"/>
          <w:vertAlign w:val="baseline"/>
        </w:rPr>
        <w:t xml:space="preserve"> diminue de moitié le niveau de potentiel de membrane </w:t>
      </w:r>
      <w:r>
        <w:rPr>
          <w:color w:val="000000"/>
          <w:position w:val="0"/>
          <w:sz w:val="21"/>
          <w:vertAlign w:val="baseline"/>
        </w:rPr>
        <w:t xml:space="preserve">Donc </w:t>
      </w:r>
      <w:r>
        <w:rPr>
          <w:color w:val="c00000"/>
          <w:position w:val="0"/>
          <w:sz w:val="21"/>
          <w:vertAlign w:val="baseline"/>
        </w:rPr>
        <w:t xml:space="preserve">augmentation du seuil d’excitabilité </w:t>
      </w:r>
      <w:r>
        <w:rPr>
          <w:color w:val="000000"/>
          <w:position w:val="0"/>
          <w:sz w:val="21"/>
          <w:vertAlign w:val="baseline"/>
        </w:rPr>
        <w:t xml:space="preserve">de la fibre musculaire </w:t>
      </w:r>
      <w:r>
        <w:rPr>
          <w:color w:val="2f5496"/>
        </w:rPr>
      </w:r>
    </w:p>
    <w:p>
      <w:pPr>
        <w:pStyle w:val="672"/>
        <w:numPr>
          <w:ilvl w:val="0"/>
          <w:numId w:val="3"/>
        </w:numPr>
        <w:pBdr/>
        <w:spacing w:after="0" w:before="0"/>
        <w:ind/>
        <w:jc w:val="both"/>
        <w:rPr>
          <w:color w:val="2f5496"/>
        </w:rPr>
      </w:pPr>
      <w:r>
        <w:rPr>
          <w:color w:val="c00000"/>
        </w:rPr>
        <w:t xml:space="preserve">L’apparition de substances compétitives de l’Ach</w:t>
      </w:r>
      <w:r>
        <w:rPr>
          <w:color w:val="000000"/>
        </w:rPr>
        <w:t xml:space="preserve">, </w:t>
      </w:r>
      <w:r>
        <w:rPr>
          <w:color w:val="2f5496"/>
        </w:rPr>
        <w:t xml:space="preserve">capables de se lier aux récepteurs de l’Ach mais incapables de déclencher alors l’activation de la membrane</w:t>
      </w:r>
      <w:r>
        <w:rPr>
          <w:color w:val="2f5496"/>
        </w:rPr>
      </w:r>
    </w:p>
    <w:p>
      <w:pPr>
        <w:pStyle w:val="675"/>
        <w:pBdr/>
        <w:spacing/>
        <w:ind/>
        <w:jc w:val="both"/>
        <w:rPr/>
      </w:pPr>
      <w:r>
        <w:t xml:space="preserve">Le système nerveux central</w:t>
      </w:r>
      <w:r/>
    </w:p>
    <w:p>
      <w:pPr>
        <w:pStyle w:val="672"/>
        <w:pBdr/>
        <w:spacing/>
        <w:ind w:firstLine="708"/>
        <w:jc w:val="both"/>
        <w:rPr>
          <w:color w:val="2f5496"/>
        </w:rPr>
      </w:pPr>
      <w:r>
        <w:rPr>
          <w:color w:val="538135"/>
        </w:rPr>
        <w:t xml:space="preserve">Théorie du gouverneur central </w:t>
      </w:r>
      <w:r>
        <w:t xml:space="preserve">(débattu) ; le cerveau régulerait la puissance produite par les muscles pour le maintien de l’homéostasie et la prévention de dommages tissulaires. Le gouverneur central </w:t>
      </w:r>
      <w:r>
        <w:rPr>
          <w:color w:val="2f5496"/>
        </w:rPr>
        <w:t xml:space="preserve">limiterait l’intensité de l’exercice en réduisant le recrutement de fibres musculaires ce qui induirait en retour la fatigue.</w:t>
      </w:r>
      <w:r>
        <w:rPr>
          <w:color w:val="2f5496"/>
        </w:rPr>
      </w:r>
    </w:p>
    <w:p>
      <w:pPr>
        <w:pStyle w:val="672"/>
        <w:pBdr/>
        <w:spacing/>
        <w:ind/>
        <w:jc w:val="both"/>
        <w:rPr/>
      </w:pPr>
      <w:r>
        <w:tab/>
        <w:t xml:space="preserve">Il a été montré à plusieurs reprises</w:t>
      </w:r>
      <w:r>
        <w:rPr>
          <w:color w:val="767171"/>
        </w:rPr>
        <w:t xml:space="preserve"> </w:t>
      </w:r>
      <w:r>
        <w:t xml:space="preserve">que le </w:t>
      </w:r>
      <w:r>
        <w:rPr>
          <w:i/>
          <w:color w:val="c55911"/>
          <w:sz w:val="20"/>
          <w:szCs w:val="20"/>
        </w:rPr>
        <w:t xml:space="preserve">cerveau est un vecteur de fatigue</w:t>
      </w:r>
      <w:r>
        <w:t xml:space="preserve">. Il est aussi important de ne pas négliger </w:t>
      </w:r>
      <w:r>
        <w:rPr>
          <w:i/>
          <w:color w:val="c55911"/>
          <w:sz w:val="20"/>
          <w:szCs w:val="20"/>
        </w:rPr>
        <w:t xml:space="preserve">l’importance des facteurs psychologiques</w:t>
      </w:r>
      <w:r>
        <w:t xml:space="preserve">.</w:t>
      </w:r>
      <w:r/>
    </w:p>
    <w:p>
      <w:pPr>
        <w:pStyle w:val="672"/>
        <w:pBdr/>
        <w:spacing/>
        <w:ind/>
        <w:jc w:val="both"/>
        <w:rPr/>
      </w:pPr>
      <w:r>
        <w:t xml:space="preserve">D’un point de vue physio : diminution de la fréquence de décharge de l’aire primaire du cortex moteur, des neurones pyramidaux et de leur transmission. </w:t>
      </w:r>
      <w:r/>
    </w:p>
    <w:p>
      <w:pPr>
        <w:pStyle w:val="672"/>
        <w:pBdr/>
        <w:spacing/>
        <w:ind/>
        <w:jc w:val="both"/>
        <w:rPr>
          <w:b/>
          <w:bCs/>
        </w:rPr>
      </w:pPr>
      <w:r>
        <w:rPr>
          <w:b/>
          <w:bCs/>
        </w:rPr>
        <w:t xml:space="preserve">Un mécanisme :</w:t>
      </w:r>
      <w:r>
        <w:rPr>
          <w:b/>
          <w:bCs/>
        </w:rPr>
      </w:r>
    </w:p>
    <w:p>
      <w:pPr>
        <w:pStyle w:val="672"/>
        <w:pBdr/>
        <w:spacing/>
        <w:ind/>
        <w:jc w:val="both"/>
        <w:rPr/>
      </w:pPr>
      <w:r>
        <w:rPr>
          <w:color w:val="c00000"/>
        </w:rPr>
        <w:t xml:space="preserve">Augmentation de la synthèse de sérotonine du cortex moteur durant un exercice : diminue activité du cortex moteur primaire. </w:t>
      </w:r>
      <w:r>
        <w:rPr>
          <w:color w:val="1f497d" w:themeColor="text2"/>
        </w:rPr>
        <w:t xml:space="preserve">Tryptophane (TRYP) précurseur de la sérotonine, passe la BHE par transporteur actif et </w:t>
      </w:r>
      <w:r>
        <w:rPr>
          <w:color w:val="1f497d" w:themeColor="text2"/>
        </w:rPr>
        <w:t xml:space="preserve">boom</w:t>
      </w:r>
      <w:r>
        <w:rPr>
          <w:color w:val="1f497d" w:themeColor="text2"/>
        </w:rPr>
        <w:t xml:space="preserve"> sérotonine. </w:t>
      </w:r>
      <w:r>
        <w:t xml:space="preserve">Transporteur commun aux </w:t>
      </w:r>
      <w:r>
        <w:rPr>
          <w:i/>
          <w:color w:val="c55911"/>
          <w:sz w:val="20"/>
          <w:szCs w:val="20"/>
        </w:rPr>
        <w:t xml:space="preserve">acides aminés ramifiés</w:t>
      </w:r>
      <w:r>
        <w:t xml:space="preserve">.</w:t>
      </w:r>
      <w:r/>
    </w:p>
    <w:p>
      <w:pPr>
        <w:pStyle w:val="672"/>
        <w:pBdr/>
        <w:spacing/>
        <w:ind/>
        <w:jc w:val="both"/>
        <w:rPr/>
      </w:pPr>
      <w:r>
        <w:t xml:space="preserve">La </w:t>
      </w:r>
      <w:r>
        <w:rPr>
          <w:color w:val="1f497d" w:themeColor="text2"/>
        </w:rPr>
        <w:t xml:space="preserve">néoglucogenèse </w:t>
      </w:r>
      <w:r>
        <w:t xml:space="preserve">à partir </w:t>
      </w:r>
      <w:r>
        <w:rPr>
          <w:color w:val="1f497d" w:themeColor="text2"/>
        </w:rPr>
        <w:t xml:space="preserve">d’acides aminés</w:t>
      </w:r>
      <w:r>
        <w:t xml:space="preserve"> </w:t>
      </w:r>
      <w:r>
        <w:rPr>
          <w:color w:val="c00000"/>
        </w:rPr>
        <w:t xml:space="preserve">diminue la concentration en AA ramifiés dans le sang. Cela implique une favorisation du passage du TRYP</w:t>
      </w:r>
      <w:r>
        <w:t xml:space="preserve"> dans la </w:t>
      </w:r>
      <w:r>
        <w:rPr>
          <w:color w:val="1f497d" w:themeColor="text2"/>
        </w:rPr>
        <w:t xml:space="preserve">BHE</w:t>
      </w:r>
      <w:r>
        <w:t xml:space="preserve"> et donc la synthèse de sérotonine.</w:t>
      </w:r>
      <w:r/>
    </w:p>
    <w:p>
      <w:pPr>
        <w:pStyle w:val="672"/>
        <w:pBdr/>
        <w:spacing/>
        <w:ind/>
        <w:jc w:val="both"/>
        <w:rPr/>
      </w:pPr>
      <w:r>
        <w:t xml:space="preserve">Contexte : détresse énergétique lié à exercice prolongé ou dénutrition ou cachexie cancéreuse.</w:t>
      </w:r>
      <w:r/>
    </w:p>
    <w:p>
      <w:pPr>
        <w:pStyle w:val="672"/>
        <w:pBdr/>
        <w:spacing/>
        <w:ind/>
        <w:jc w:val="both"/>
        <w:rPr>
          <w:b/>
          <w:bCs/>
        </w:rPr>
      </w:pPr>
      <w:r>
        <w:rPr>
          <w:b/>
          <w:bCs/>
        </w:rPr>
        <w:t xml:space="preserve">Un mécanisme potentiel :</w:t>
      </w:r>
      <w:r>
        <w:rPr>
          <w:b/>
          <w:bCs/>
        </w:rPr>
      </w:r>
    </w:p>
    <w:p>
      <w:pPr>
        <w:pStyle w:val="672"/>
        <w:pBdr/>
        <w:spacing/>
        <w:ind/>
        <w:jc w:val="both"/>
        <w:rPr/>
      </w:pPr>
      <w:r>
        <w:t xml:space="preserve">Un exercice prolongé qui implique une dégradation d’AA implique</w:t>
      </w:r>
      <w:r>
        <w:rPr>
          <w:color w:val="c00000"/>
        </w:rPr>
        <w:t xml:space="preserve"> la production d’ammonium (NH</w:t>
      </w:r>
      <w:r>
        <w:rPr>
          <w:color w:val="c00000"/>
          <w:vertAlign w:val="subscript"/>
        </w:rPr>
        <w:t xml:space="preserve">4</w:t>
      </w:r>
      <w:r>
        <w:rPr>
          <w:color w:val="c00000"/>
          <w:vertAlign w:val="superscript"/>
        </w:rPr>
        <w:t xml:space="preserve">+</w:t>
      </w:r>
      <w:r>
        <w:rPr>
          <w:color w:val="c00000"/>
        </w:rPr>
        <w:t xml:space="preserve">) par désamination</w:t>
      </w:r>
      <w:r>
        <w:t xml:space="preserve">. L’ammonium perturbe la </w:t>
      </w:r>
      <w:r>
        <w:rPr>
          <w:color w:val="c00000"/>
        </w:rPr>
        <w:t xml:space="preserve">synthèse de neurotransmetteurs</w:t>
      </w:r>
      <w:r>
        <w:t xml:space="preserve"> (</w:t>
      </w:r>
      <w:r>
        <w:rPr>
          <w:color w:val="538135"/>
        </w:rPr>
        <w:t xml:space="preserve">glutamate, GABA</w:t>
      </w:r>
      <w:r>
        <w:t xml:space="preserve">).</w:t>
      </w:r>
      <w:r/>
    </w:p>
    <w:p>
      <w:pPr>
        <w:pStyle w:val="672"/>
        <w:pBdr/>
        <w:spacing/>
        <w:ind/>
        <w:jc w:val="both"/>
        <w:rPr/>
      </w:pPr>
      <w:r/>
      <w:r/>
    </w:p>
    <w:p>
      <w:pPr>
        <w:pStyle w:val="672"/>
        <w:pBdr/>
        <w:spacing/>
        <w:ind/>
        <w:jc w:val="both"/>
        <w:rPr>
          <w:b/>
          <w:bCs/>
        </w:rPr>
      </w:pPr>
      <w:r>
        <w:rPr>
          <w:b/>
          <w:bCs/>
        </w:rPr>
        <w:t xml:space="preserve">Jonction neurone P / MTN</w:t>
      </w:r>
      <w:r>
        <w:rPr>
          <w:b/>
          <w:bCs/>
        </w:rPr>
      </w:r>
    </w:p>
    <w:p>
      <w:pPr>
        <w:pStyle w:val="672"/>
        <w:pBdr/>
        <w:spacing/>
        <w:ind/>
        <w:jc w:val="both"/>
        <w:rPr/>
      </w:pPr>
      <w:r>
        <w:t xml:space="preserve">Boucles de rétroactions locales (restent centrales) qui vont inhiber le MTNalpha. Stimulé par des chémorécepteurs liés par exemple au lactate/K+/O2. </w:t>
      </w:r>
      <w:r/>
    </w:p>
    <w:p>
      <w:pPr>
        <w:pStyle w:val="672"/>
        <w:pBdr/>
        <w:spacing/>
        <w:ind/>
        <w:jc w:val="both"/>
        <w:rPr/>
      </w:pPr>
      <w:r>
        <w:t xml:space="preserve">Il semblerait qu’il y ait une réduction de l’efficacité du réflexe myotatique plus l’exercice dure. </w:t>
      </w:r>
      <w:r/>
    </w:p>
    <w:p>
      <w:pPr>
        <w:pStyle w:val="672"/>
        <w:pBdr/>
        <w:spacing/>
        <w:ind/>
        <w:jc w:val="both"/>
        <w:rPr/>
      </w:pPr>
      <w:r/>
      <w:r/>
    </w:p>
    <w:p>
      <w:pPr>
        <w:pStyle w:val="673"/>
        <w:pBdr/>
        <w:spacing/>
        <w:ind/>
        <w:rPr/>
      </w:pPr>
      <w:r>
        <w:t xml:space="preserve">Stratégies nutritionnelles pour limiter la fatigue</w:t>
      </w:r>
      <w:r/>
    </w:p>
    <w:p>
      <w:pPr>
        <w:pStyle w:val="672"/>
        <w:pBdr/>
        <w:spacing/>
        <w:ind/>
        <w:rPr/>
      </w:pPr>
      <w:r>
        <w:t xml:space="preserve">BCAA pour diminuer TRYP et sérotonine : ne fonctionnerait que pour des gens </w:t>
      </w:r>
      <w:r>
        <w:rPr>
          <w:color w:val="ed7d31"/>
        </w:rPr>
        <w:t xml:space="preserve">peu entraînés </w:t>
      </w:r>
      <w:r>
        <w:t xml:space="preserve">? Résultats non concluants sur la performance </w:t>
      </w:r>
      <w:r/>
    </w:p>
    <w:p>
      <w:pPr>
        <w:pStyle w:val="672"/>
        <w:pBdr/>
        <w:spacing/>
        <w:ind/>
        <w:rPr/>
      </w:pPr>
      <w:r>
        <w:t xml:space="preserve">glucides : permet à l’albumine de moins se lier aux TRYP et donc moins de sérotonine. Effet bénéfique sur la performance par rapport aux stocks de glycogène et pour la fatigue centrale et par rapport à l’augmentation d’ammonium</w:t>
      </w:r>
      <w:r/>
    </w:p>
    <w:p>
      <w:pPr>
        <w:pStyle w:val="672"/>
        <w:pBdr/>
        <w:spacing/>
        <w:ind/>
        <w:rPr/>
      </w:pPr>
      <w:r>
        <w:t xml:space="preserve">caféine : limite la fatigue à l’effort ?</w:t>
      </w:r>
      <w:r/>
    </w:p>
    <w:p>
      <w:pPr>
        <w:pStyle w:val="673"/>
        <w:pBdr/>
        <w:spacing/>
        <w:ind/>
        <w:jc w:val="both"/>
        <w:rPr/>
      </w:pPr>
      <w:r>
        <w:t xml:space="preserve">Résumé</w:t>
      </w:r>
      <w:r/>
    </w:p>
    <w:tbl>
      <w:tblPr>
        <w:tblInd w:w="0" w:type="dxa"/>
        <w:tblW w:w="9072" w:type="dxa"/>
        <w:tblCellMar>
          <w:left w:w="108" w:type="dxa"/>
          <w:top w:w="0" w:type="dxa"/>
          <w:right w:w="108" w:type="dxa"/>
          <w:bottom w:w="0" w:type="dxa"/>
        </w:tblCellMar>
        <w:tblBorders/>
        <w:tblLayout w:type="fixed"/>
        <w:tblLook w:val="04A0" w:firstRow="1" w:lastRow="0" w:firstColumn="1" w:lastColumn="0" w:noHBand="0" w:noVBand="1"/>
      </w:tblPr>
      <w:tblGrid>
        <w:gridCol w:w="3481"/>
        <w:gridCol w:w="5590"/>
      </w:tblGrid>
      <w:tr>
        <w:trPr/>
        <w:tc>
          <w:tcPr>
            <w:tcBorders>
              <w:top w:val="single" w:color="8eaadb" w:sz="4" w:space="0"/>
              <w:left w:val="single" w:color="8eaadb" w:sz="4" w:space="0"/>
              <w:bottom w:val="single" w:color="8eaadb" w:sz="4" w:space="0"/>
              <w:right w:val="single" w:color="8eaadb" w:sz="4" w:space="0"/>
            </w:tcBorders>
            <w:tcW w:w="3481" w:type="dxa"/>
            <w:textDirection w:val="lrTb"/>
            <w:noWrap w:val="false"/>
          </w:tcPr>
          <w:p>
            <w:pPr>
              <w:pStyle w:val="672"/>
              <w:pBdr/>
              <w:spacing w:after="160" w:before="0"/>
              <w:ind/>
              <w:jc w:val="both"/>
              <w:rPr/>
            </w:pPr>
            <w:r>
              <w:t xml:space="preserve">Fatigue centrale</w:t>
            </w:r>
            <w:r/>
          </w:p>
        </w:tc>
        <w:tc>
          <w:tcPr>
            <w:tcBorders>
              <w:top w:val="single" w:color="8eaadb" w:sz="4" w:space="0"/>
              <w:left w:val="single" w:color="8eaadb" w:sz="4" w:space="0"/>
              <w:bottom w:val="single" w:color="8eaadb" w:sz="4" w:space="0"/>
              <w:right w:val="single" w:color="8eaadb" w:sz="4" w:space="0"/>
            </w:tcBorders>
            <w:tcW w:w="5590" w:type="dxa"/>
            <w:textDirection w:val="lrTb"/>
            <w:noWrap w:val="false"/>
          </w:tcPr>
          <w:p>
            <w:pPr>
              <w:pStyle w:val="672"/>
              <w:pBdr/>
              <w:spacing w:after="160" w:before="0"/>
              <w:ind/>
              <w:jc w:val="both"/>
              <w:rPr/>
            </w:pPr>
            <w:r/>
            <w:r/>
          </w:p>
        </w:tc>
      </w:tr>
      <w:tr>
        <w:trPr/>
        <w:tc>
          <w:tcPr>
            <w:tcBorders>
              <w:top w:val="single" w:color="8eaadb" w:sz="4" w:space="0"/>
              <w:left w:val="single" w:color="8eaadb" w:sz="4" w:space="0"/>
              <w:bottom w:val="single" w:color="8eaadb" w:sz="4" w:space="0"/>
              <w:right w:val="single" w:color="8eaadb" w:sz="4" w:space="0"/>
            </w:tcBorders>
            <w:tcW w:w="3481" w:type="dxa"/>
            <w:textDirection w:val="lrTb"/>
            <w:noWrap w:val="false"/>
          </w:tcPr>
          <w:p>
            <w:pPr>
              <w:pStyle w:val="672"/>
              <w:pBdr/>
              <w:spacing w:after="160" w:before="0"/>
              <w:ind/>
              <w:jc w:val="both"/>
              <w:rPr/>
            </w:pPr>
            <w:r>
              <w:t xml:space="preserve">Activité corticale et cérébelleuse</w:t>
            </w:r>
            <w:r/>
          </w:p>
        </w:tc>
        <w:tc>
          <w:tcPr>
            <w:tcBorders>
              <w:top w:val="single" w:color="8eaadb" w:sz="4" w:space="0"/>
              <w:left w:val="single" w:color="8eaadb" w:sz="4" w:space="0"/>
              <w:bottom w:val="single" w:color="8eaadb" w:sz="4" w:space="0"/>
              <w:right w:val="single" w:color="8eaadb" w:sz="4" w:space="0"/>
            </w:tcBorders>
            <w:tcW w:w="5590" w:type="dxa"/>
            <w:textDirection w:val="lrTb"/>
            <w:noWrap w:val="false"/>
          </w:tcPr>
          <w:p>
            <w:pPr>
              <w:pStyle w:val="672"/>
              <w:pBdr/>
              <w:spacing w:after="160" w:before="0"/>
              <w:ind/>
              <w:jc w:val="both"/>
              <w:rPr/>
            </w:pPr>
            <w:r>
              <w:t xml:space="preserve">Motivation déficiente ?</w:t>
            </w:r>
            <w:r/>
          </w:p>
        </w:tc>
      </w:tr>
      <w:tr>
        <w:trPr/>
        <w:tc>
          <w:tcPr>
            <w:tcBorders>
              <w:top w:val="single" w:color="8eaadb" w:sz="4" w:space="0"/>
              <w:left w:val="single" w:color="8eaadb" w:sz="4" w:space="0"/>
              <w:bottom w:val="single" w:color="8eaadb" w:sz="4" w:space="0"/>
              <w:right w:val="single" w:color="8eaadb" w:sz="4" w:space="0"/>
            </w:tcBorders>
            <w:tcW w:w="3481" w:type="dxa"/>
            <w:textDirection w:val="lrTb"/>
            <w:noWrap w:val="false"/>
          </w:tcPr>
          <w:p>
            <w:pPr>
              <w:pStyle w:val="672"/>
              <w:pBdr/>
              <w:spacing w:after="160" w:before="0"/>
              <w:ind/>
              <w:jc w:val="both"/>
              <w:rPr/>
            </w:pPr>
            <w:r>
              <w:t xml:space="preserve">Influx nerveux cortical</w:t>
            </w:r>
            <w:r/>
          </w:p>
        </w:tc>
        <w:tc>
          <w:tcPr>
            <w:tcBorders>
              <w:top w:val="single" w:color="8eaadb" w:sz="4" w:space="0"/>
              <w:left w:val="single" w:color="8eaadb" w:sz="4" w:space="0"/>
              <w:bottom w:val="single" w:color="8eaadb" w:sz="4" w:space="0"/>
              <w:right w:val="single" w:color="8eaadb" w:sz="4" w:space="0"/>
            </w:tcBorders>
            <w:tcW w:w="5590" w:type="dxa"/>
            <w:textDirection w:val="lrTb"/>
            <w:noWrap w:val="false"/>
          </w:tcPr>
          <w:p>
            <w:pPr>
              <w:pStyle w:val="672"/>
              <w:pBdr/>
              <w:spacing w:after="160" w:before="0"/>
              <w:ind/>
              <w:jc w:val="both"/>
              <w:rPr/>
            </w:pPr>
            <w:r/>
            <w:r/>
          </w:p>
        </w:tc>
      </w:tr>
      <w:tr>
        <w:trPr/>
        <w:tc>
          <w:tcPr>
            <w:tcBorders>
              <w:top w:val="single" w:color="8eaadb" w:sz="4" w:space="0"/>
              <w:left w:val="single" w:color="8eaadb" w:sz="4" w:space="0"/>
              <w:bottom w:val="single" w:color="8eaadb" w:sz="4" w:space="0"/>
              <w:right w:val="single" w:color="8eaadb" w:sz="4" w:space="0"/>
            </w:tcBorders>
            <w:tcW w:w="3481" w:type="dxa"/>
            <w:textDirection w:val="lrTb"/>
            <w:noWrap w:val="false"/>
          </w:tcPr>
          <w:p>
            <w:pPr>
              <w:pStyle w:val="672"/>
              <w:pBdr/>
              <w:spacing w:after="160" w:before="0"/>
              <w:ind/>
              <w:jc w:val="both"/>
              <w:rPr/>
            </w:pPr>
            <w:r>
              <w:t xml:space="preserve">Transmission par la voie motrice descendante</w:t>
            </w:r>
            <w:r/>
          </w:p>
        </w:tc>
        <w:tc>
          <w:tcPr>
            <w:tcBorders>
              <w:top w:val="single" w:color="8eaadb" w:sz="4" w:space="0"/>
              <w:left w:val="single" w:color="8eaadb" w:sz="4" w:space="0"/>
              <w:bottom w:val="single" w:color="8eaadb" w:sz="4" w:space="0"/>
              <w:right w:val="single" w:color="8eaadb" w:sz="4" w:space="0"/>
            </w:tcBorders>
            <w:tcW w:w="5590" w:type="dxa"/>
            <w:textDirection w:val="lrTb"/>
            <w:noWrap w:val="false"/>
          </w:tcPr>
          <w:p>
            <w:pPr>
              <w:pStyle w:val="672"/>
              <w:pBdr/>
              <w:spacing w:after="160" w:before="0"/>
              <w:ind/>
              <w:jc w:val="both"/>
              <w:rPr/>
            </w:pPr>
            <w:r>
              <w:t xml:space="preserve">Réduction du recrutement et de la fréquence de décharge des unités motrices</w:t>
            </w:r>
            <w:r/>
          </w:p>
        </w:tc>
      </w:tr>
      <w:tr>
        <w:trPr>
          <w:trHeight w:val="70"/>
        </w:trPr>
        <w:tc>
          <w:tcPr>
            <w:tcBorders>
              <w:top w:val="single" w:color="8eaadb" w:sz="4" w:space="0"/>
              <w:left w:val="single" w:color="8eaadb" w:sz="4" w:space="0"/>
              <w:bottom w:val="single" w:color="8eaadb" w:sz="4" w:space="0"/>
              <w:right w:val="single" w:color="8eaadb" w:sz="4" w:space="0"/>
            </w:tcBorders>
            <w:tcW w:w="3481" w:type="dxa"/>
            <w:textDirection w:val="lrTb"/>
            <w:noWrap w:val="false"/>
          </w:tcPr>
          <w:p>
            <w:pPr>
              <w:pStyle w:val="672"/>
              <w:pBdr/>
              <w:spacing w:after="160" w:before="0"/>
              <w:ind/>
              <w:jc w:val="both"/>
              <w:rPr/>
            </w:pPr>
            <w:r>
              <w:t xml:space="preserve">Activation des motoneurones médullaires</w:t>
            </w:r>
            <w:r/>
          </w:p>
        </w:tc>
        <w:tc>
          <w:tcPr>
            <w:tcBorders>
              <w:top w:val="single" w:color="8eaadb" w:sz="4" w:space="0"/>
              <w:left w:val="single" w:color="8eaadb" w:sz="4" w:space="0"/>
              <w:bottom w:val="single" w:color="8eaadb" w:sz="4" w:space="0"/>
              <w:right w:val="single" w:color="8eaadb" w:sz="4" w:space="0"/>
            </w:tcBorders>
            <w:tcW w:w="5590" w:type="dxa"/>
            <w:textDirection w:val="lrTb"/>
            <w:noWrap w:val="false"/>
          </w:tcPr>
          <w:p>
            <w:pPr>
              <w:pStyle w:val="672"/>
              <w:pBdr/>
              <w:spacing w:after="160" w:before="0"/>
              <w:ind/>
              <w:jc w:val="both"/>
              <w:rPr/>
            </w:pPr>
            <w:r/>
            <w:r/>
          </w:p>
        </w:tc>
      </w:tr>
    </w:tbl>
    <w:p>
      <w:pPr>
        <w:pStyle w:val="672"/>
        <w:pBdr/>
        <w:spacing/>
        <w:ind/>
        <w:jc w:val="both"/>
        <w:rPr/>
      </w:pPr>
      <w:r/>
      <w:r/>
    </w:p>
    <w:tbl>
      <w:tblPr>
        <w:tblInd w:w="5" w:type="dxa"/>
        <w:tblW w:w="9062" w:type="dxa"/>
        <w:tblCellMar>
          <w:left w:w="108" w:type="dxa"/>
          <w:top w:w="0" w:type="dxa"/>
          <w:right w:w="108" w:type="dxa"/>
          <w:bottom w:w="0" w:type="dxa"/>
        </w:tblCellMar>
        <w:tblBorders/>
        <w:tblLayout w:type="fixed"/>
        <w:tblLook w:val="04A0" w:firstRow="1" w:lastRow="0" w:firstColumn="1" w:lastColumn="0" w:noHBand="0" w:noVBand="1"/>
      </w:tblPr>
      <w:tblGrid>
        <w:gridCol w:w="3397"/>
        <w:gridCol w:w="5664"/>
      </w:tblGrid>
      <w:tr>
        <w:trPr/>
        <w:tc>
          <w:tcPr>
            <w:tcBorders>
              <w:top w:val="single" w:color="8eaadb" w:sz="4" w:space="0"/>
              <w:left w:val="single" w:color="8eaadb" w:sz="4" w:space="0"/>
              <w:bottom w:val="single" w:color="8eaadb" w:sz="4" w:space="0"/>
              <w:right w:val="single" w:color="8eaadb" w:sz="4" w:space="0"/>
            </w:tcBorders>
            <w:tcW w:w="3397" w:type="dxa"/>
            <w:textDirection w:val="lrTb"/>
            <w:noWrap w:val="false"/>
          </w:tcPr>
          <w:p>
            <w:pPr>
              <w:pStyle w:val="672"/>
              <w:pBdr/>
              <w:spacing w:after="160" w:before="0"/>
              <w:ind/>
              <w:jc w:val="both"/>
              <w:rPr/>
            </w:pPr>
            <w:r>
              <w:rPr>
                <w:b w:val="0"/>
              </w:rPr>
              <w:t xml:space="preserve">Fatigue périphérique</w:t>
            </w:r>
            <w:r/>
          </w:p>
        </w:tc>
        <w:tc>
          <w:tcPr>
            <w:tcBorders>
              <w:top w:val="single" w:color="8eaadb" w:sz="4" w:space="0"/>
              <w:left w:val="single" w:color="8eaadb" w:sz="4" w:space="0"/>
              <w:bottom w:val="single" w:color="8eaadb" w:sz="4" w:space="0"/>
              <w:right w:val="single" w:color="8eaadb" w:sz="4" w:space="0"/>
            </w:tcBorders>
            <w:tcW w:w="5664" w:type="dxa"/>
            <w:textDirection w:val="lrTb"/>
            <w:noWrap w:val="false"/>
          </w:tcPr>
          <w:p>
            <w:pPr>
              <w:pStyle w:val="672"/>
              <w:pBdr/>
              <w:spacing w:after="160" w:before="0"/>
              <w:ind/>
              <w:jc w:val="both"/>
              <w:rPr/>
            </w:pPr>
            <w:r/>
            <w:r/>
          </w:p>
        </w:tc>
      </w:tr>
      <w:tr>
        <w:trPr/>
        <w:tc>
          <w:tcPr>
            <w:tcBorders>
              <w:top w:val="single" w:color="8eaadb" w:sz="4" w:space="0"/>
              <w:left w:val="single" w:color="8eaadb" w:sz="4" w:space="0"/>
              <w:bottom w:val="single" w:color="8eaadb" w:sz="4" w:space="0"/>
              <w:right w:val="single" w:color="8eaadb" w:sz="4" w:space="0"/>
            </w:tcBorders>
            <w:tcW w:w="3397" w:type="dxa"/>
            <w:textDirection w:val="lrTb"/>
            <w:noWrap w:val="false"/>
          </w:tcPr>
          <w:p>
            <w:pPr>
              <w:pStyle w:val="672"/>
              <w:pBdr/>
              <w:spacing w:after="160" w:before="0"/>
              <w:ind/>
              <w:jc w:val="both"/>
              <w:rPr/>
            </w:pPr>
            <w:r>
              <w:t xml:space="preserve">Propagation axonale</w:t>
            </w:r>
            <w:r/>
          </w:p>
        </w:tc>
        <w:tc>
          <w:tcPr>
            <w:tcBorders>
              <w:top w:val="single" w:color="8eaadb" w:sz="4" w:space="0"/>
              <w:left w:val="single" w:color="8eaadb" w:sz="4" w:space="0"/>
              <w:bottom w:val="single" w:color="8eaadb" w:sz="4" w:space="0"/>
              <w:right w:val="single" w:color="8eaadb" w:sz="4" w:space="0"/>
            </w:tcBorders>
            <w:tcW w:w="5664" w:type="dxa"/>
            <w:textDirection w:val="lrTb"/>
            <w:noWrap w:val="false"/>
          </w:tcPr>
          <w:p>
            <w:pPr>
              <w:pStyle w:val="672"/>
              <w:pBdr/>
              <w:spacing w:after="160" w:before="0"/>
              <w:ind/>
              <w:jc w:val="both"/>
              <w:rPr/>
            </w:pPr>
            <w:r>
              <w:t xml:space="preserve">Blocage de certains axones terminaux</w:t>
            </w:r>
            <w:r/>
          </w:p>
        </w:tc>
      </w:tr>
      <w:tr>
        <w:trPr/>
        <w:tc>
          <w:tcPr>
            <w:tcBorders>
              <w:top w:val="single" w:color="8eaadb" w:sz="4" w:space="0"/>
              <w:left w:val="single" w:color="8eaadb" w:sz="4" w:space="0"/>
              <w:bottom w:val="single" w:color="8eaadb" w:sz="4" w:space="0"/>
              <w:right w:val="single" w:color="8eaadb" w:sz="4" w:space="0"/>
            </w:tcBorders>
            <w:tcW w:w="3397" w:type="dxa"/>
            <w:textDirection w:val="lrTb"/>
            <w:noWrap w:val="false"/>
          </w:tcPr>
          <w:p>
            <w:pPr>
              <w:pStyle w:val="672"/>
              <w:pBdr/>
              <w:spacing w:after="160" w:before="0"/>
              <w:ind/>
              <w:jc w:val="both"/>
              <w:rPr/>
            </w:pPr>
            <w:r>
              <w:t xml:space="preserve">Transmission neuro-musculaire</w:t>
            </w:r>
            <w:r/>
          </w:p>
        </w:tc>
        <w:tc>
          <w:tcPr>
            <w:tcBorders>
              <w:top w:val="single" w:color="8eaadb" w:sz="4" w:space="0"/>
              <w:left w:val="single" w:color="8eaadb" w:sz="4" w:space="0"/>
              <w:bottom w:val="single" w:color="8eaadb" w:sz="4" w:space="0"/>
              <w:right w:val="single" w:color="8eaadb" w:sz="4" w:space="0"/>
            </w:tcBorders>
            <w:tcW w:w="5664" w:type="dxa"/>
            <w:textDirection w:val="lrTb"/>
            <w:noWrap w:val="false"/>
          </w:tcPr>
          <w:p>
            <w:pPr>
              <w:pStyle w:val="672"/>
              <w:pBdr/>
              <w:spacing w:after="160" w:before="0"/>
              <w:ind/>
              <w:jc w:val="both"/>
              <w:rPr/>
            </w:pPr>
            <w:r>
              <w:t xml:space="preserve">Diminution</w:t>
            </w:r>
            <w:r/>
          </w:p>
        </w:tc>
      </w:tr>
      <w:tr>
        <w:trPr/>
        <w:tc>
          <w:tcPr>
            <w:tcBorders>
              <w:top w:val="single" w:color="8eaadb" w:sz="4" w:space="0"/>
              <w:left w:val="single" w:color="8eaadb" w:sz="4" w:space="0"/>
              <w:bottom w:val="single" w:color="8eaadb" w:sz="4" w:space="0"/>
              <w:right w:val="single" w:color="8eaadb" w:sz="4" w:space="0"/>
            </w:tcBorders>
            <w:tcW w:w="3397" w:type="dxa"/>
            <w:textDirection w:val="lrTb"/>
            <w:noWrap w:val="false"/>
          </w:tcPr>
          <w:p>
            <w:pPr>
              <w:pStyle w:val="672"/>
              <w:pBdr/>
              <w:spacing w:after="160" w:before="0"/>
              <w:ind/>
              <w:jc w:val="both"/>
              <w:rPr/>
            </w:pPr>
            <w:r>
              <w:t xml:space="preserve">Transfert sarcolemme</w:t>
            </w:r>
            <w:r/>
          </w:p>
        </w:tc>
        <w:tc>
          <w:tcPr>
            <w:tcBorders>
              <w:top w:val="single" w:color="8eaadb" w:sz="4" w:space="0"/>
              <w:left w:val="single" w:color="8eaadb" w:sz="4" w:space="0"/>
              <w:bottom w:val="single" w:color="8eaadb" w:sz="4" w:space="0"/>
              <w:right w:val="single" w:color="8eaadb" w:sz="4" w:space="0"/>
            </w:tcBorders>
            <w:tcW w:w="5664" w:type="dxa"/>
            <w:textDirection w:val="lrTb"/>
            <w:noWrap w:val="false"/>
          </w:tcPr>
          <w:p>
            <w:pPr>
              <w:pStyle w:val="672"/>
              <w:pBdr/>
              <w:spacing w:after="160" w:before="0"/>
              <w:ind/>
              <w:jc w:val="both"/>
              <w:rPr/>
            </w:pPr>
            <w:r>
              <w:t xml:space="preserve">Ralentissement</w:t>
            </w:r>
            <w:r/>
          </w:p>
        </w:tc>
      </w:tr>
      <w:tr>
        <w:trPr/>
        <w:tc>
          <w:tcPr>
            <w:tcBorders>
              <w:top w:val="single" w:color="8eaadb" w:sz="4" w:space="0"/>
              <w:left w:val="single" w:color="8eaadb" w:sz="4" w:space="0"/>
              <w:bottom w:val="single" w:color="8eaadb" w:sz="4" w:space="0"/>
              <w:right w:val="single" w:color="8eaadb" w:sz="4" w:space="0"/>
            </w:tcBorders>
            <w:tcW w:w="3397" w:type="dxa"/>
            <w:textDirection w:val="lrTb"/>
            <w:noWrap w:val="false"/>
          </w:tcPr>
          <w:p>
            <w:pPr>
              <w:pStyle w:val="672"/>
              <w:pBdr/>
              <w:spacing w:after="160" w:before="0"/>
              <w:ind/>
              <w:jc w:val="both"/>
              <w:rPr/>
            </w:pPr>
            <w:r>
              <w:t xml:space="preserve">Propagation par les tubules-T</w:t>
            </w:r>
            <w:r/>
          </w:p>
        </w:tc>
        <w:tc>
          <w:tcPr>
            <w:tcBorders>
              <w:top w:val="single" w:color="8eaadb" w:sz="4" w:space="0"/>
              <w:left w:val="single" w:color="8eaadb" w:sz="4" w:space="0"/>
              <w:bottom w:val="single" w:color="8eaadb" w:sz="4" w:space="0"/>
              <w:right w:val="single" w:color="8eaadb" w:sz="4" w:space="0"/>
            </w:tcBorders>
            <w:tcW w:w="5664" w:type="dxa"/>
            <w:textDirection w:val="lrTb"/>
            <w:noWrap w:val="false"/>
          </w:tcPr>
          <w:p>
            <w:pPr>
              <w:pStyle w:val="672"/>
              <w:pBdr/>
              <w:spacing w:after="160" w:before="0"/>
              <w:ind/>
              <w:jc w:val="both"/>
              <w:rPr/>
            </w:pPr>
            <w:r>
              <w:t xml:space="preserve">Diminution</w:t>
            </w:r>
            <w:r/>
          </w:p>
        </w:tc>
      </w:tr>
      <w:tr>
        <w:trPr/>
        <w:tc>
          <w:tcPr>
            <w:tcBorders>
              <w:top w:val="single" w:color="8eaadb" w:sz="4" w:space="0"/>
              <w:left w:val="single" w:color="8eaadb" w:sz="4" w:space="0"/>
              <w:bottom w:val="single" w:color="8eaadb" w:sz="4" w:space="0"/>
              <w:right w:val="single" w:color="8eaadb" w:sz="4" w:space="0"/>
            </w:tcBorders>
            <w:tcW w:w="3397" w:type="dxa"/>
            <w:textDirection w:val="lrTb"/>
            <w:noWrap w:val="false"/>
          </w:tcPr>
          <w:p>
            <w:pPr>
              <w:pStyle w:val="672"/>
              <w:pBdr/>
              <w:spacing w:after="160" w:before="0"/>
              <w:ind/>
              <w:jc w:val="both"/>
              <w:rPr/>
            </w:pPr>
            <w:r>
              <w:t xml:space="preserve">Libération du calcium du réticulum sarcoplasmique</w:t>
            </w:r>
            <w:r/>
          </w:p>
        </w:tc>
        <w:tc>
          <w:tcPr>
            <w:tcBorders>
              <w:top w:val="single" w:color="8eaadb" w:sz="4" w:space="0"/>
              <w:left w:val="single" w:color="8eaadb" w:sz="4" w:space="0"/>
              <w:bottom w:val="single" w:color="8eaadb" w:sz="4" w:space="0"/>
              <w:right w:val="single" w:color="8eaadb" w:sz="4" w:space="0"/>
            </w:tcBorders>
            <w:tcW w:w="5664" w:type="dxa"/>
            <w:textDirection w:val="lrTb"/>
            <w:noWrap w:val="false"/>
          </w:tcPr>
          <w:p>
            <w:pPr>
              <w:pStyle w:val="672"/>
              <w:pBdr/>
              <w:spacing w:after="160" w:before="0"/>
              <w:ind/>
              <w:jc w:val="both"/>
              <w:rPr/>
            </w:pPr>
            <w:r>
              <w:t xml:space="preserve">Ralentissement</w:t>
            </w:r>
            <w:r/>
          </w:p>
        </w:tc>
      </w:tr>
      <w:tr>
        <w:trPr/>
        <w:tc>
          <w:tcPr>
            <w:tcBorders>
              <w:top w:val="single" w:color="8eaadb" w:sz="4" w:space="0"/>
              <w:left w:val="single" w:color="8eaadb" w:sz="4" w:space="0"/>
              <w:bottom w:val="single" w:color="8eaadb" w:sz="4" w:space="0"/>
              <w:right w:val="single" w:color="8eaadb" w:sz="4" w:space="0"/>
            </w:tcBorders>
            <w:tcW w:w="3397" w:type="dxa"/>
            <w:textDirection w:val="lrTb"/>
            <w:noWrap w:val="false"/>
          </w:tcPr>
          <w:p>
            <w:pPr>
              <w:pStyle w:val="672"/>
              <w:pBdr/>
              <w:spacing w:after="160" w:before="0"/>
              <w:ind/>
              <w:jc w:val="both"/>
              <w:rPr/>
            </w:pPr>
            <w:r>
              <w:t xml:space="preserve">Association actine-myosine</w:t>
            </w:r>
            <w:r/>
          </w:p>
        </w:tc>
        <w:tc>
          <w:tcPr>
            <w:tcBorders>
              <w:top w:val="single" w:color="8eaadb" w:sz="4" w:space="0"/>
              <w:left w:val="single" w:color="8eaadb" w:sz="4" w:space="0"/>
              <w:bottom w:val="single" w:color="8eaadb" w:sz="4" w:space="0"/>
              <w:right w:val="single" w:color="8eaadb" w:sz="4" w:space="0"/>
            </w:tcBorders>
            <w:tcW w:w="5664" w:type="dxa"/>
            <w:textDirection w:val="lrTb"/>
            <w:noWrap w:val="false"/>
          </w:tcPr>
          <w:p>
            <w:pPr>
              <w:pStyle w:val="672"/>
              <w:pBdr/>
              <w:spacing w:after="160" w:before="0"/>
              <w:ind/>
              <w:jc w:val="both"/>
              <w:rPr/>
            </w:pPr>
            <w:r>
              <w:t xml:space="preserve">Diminution du nombre de ponts et de la force exercée par chacun d’eux</w:t>
            </w:r>
            <w:r/>
          </w:p>
        </w:tc>
      </w:tr>
    </w:tbl>
    <w:p>
      <w:pPr>
        <w:pStyle w:val="672"/>
        <w:pBdr/>
        <w:spacing/>
        <w:ind/>
        <w:jc w:val="both"/>
        <w:rPr/>
      </w:pPr>
      <w:r/>
      <w:r/>
    </w:p>
    <w:p>
      <w:pPr>
        <w:pStyle w:val="672"/>
        <w:pBdr/>
        <w:spacing w:after="160" w:before="0"/>
        <w:ind/>
        <w:jc w:val="both"/>
        <w:rPr>
          <w:i/>
          <w:color w:val="767171"/>
          <w:sz w:val="20"/>
          <w:szCs w:val="20"/>
        </w:rPr>
      </w:pPr>
      <w:r>
        <w:rPr>
          <w:i/>
          <w:color w:val="767171"/>
          <w:sz w:val="20"/>
          <w:szCs w:val="20"/>
        </w:rPr>
        <w:t xml:space="preserve">Stades du mouvement volontaire et perturbations par la fatigue</w:t>
      </w:r>
      <w:r>
        <w:rPr>
          <w:i/>
          <w:color w:val="767171"/>
          <w:sz w:val="20"/>
          <w:szCs w:val="20"/>
        </w:rPr>
      </w:r>
    </w:p>
    <w:sectPr>
      <w:footnotePr/>
      <w:endnotePr/>
      <w:type w:val="nextPage"/>
      <w:pgSz w:h="16838" w:orient="portrait" w:w="11906"/>
      <w:pgMar w:top="1417" w:right="1417" w:bottom="1417" w:left="1417" w:header="0" w:footer="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Noto Sans CJK SC">
    <w:panose1 w:val="020B0500000000000000"/>
  </w:font>
  <w:font w:name="Noto Sans Symbols">
    <w:panose1 w:val="020B0502040504020204"/>
  </w:font>
  <w:font w:name="Noto Sans Devanagari">
    <w:panose1 w:val="020B0502040504020204"/>
  </w:font>
  <w:font w:name="Liberation Sans">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1">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2">
    <w:lvl w:ilvl="0">
      <w:isLgl w:val="false"/>
      <w:lvlJc w:val="left"/>
      <w:lvlText w:val="●"/>
      <w:numFmt w:val="bullet"/>
      <w:pPr>
        <w:pBdr/>
        <w:tabs>
          <w:tab w:val="num" w:leader="none" w:pos="0"/>
        </w:tabs>
        <w:spacing/>
        <w:ind w:hanging="360" w:left="720"/>
      </w:pPr>
      <w:rPr>
        <w:rFonts w:hint="default" w:ascii="Noto Sans Symbols" w:hAnsi="Noto Sans Symbols" w:cs="Noto Sans Symbols"/>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Noto Sans Symbols" w:hAnsi="Noto Sans Symbols" w:cs="Noto Sans Symbols"/>
      </w:rPr>
      <w:start w:val="1"/>
      <w:suff w:val="tab"/>
    </w:lvl>
    <w:lvl w:ilvl="3">
      <w:isLgl w:val="false"/>
      <w:lvlJc w:val="left"/>
      <w:lvlText w:val="●"/>
      <w:numFmt w:val="bullet"/>
      <w:pPr>
        <w:pBdr/>
        <w:tabs>
          <w:tab w:val="num" w:leader="none" w:pos="0"/>
        </w:tabs>
        <w:spacing/>
        <w:ind w:hanging="360" w:left="2880"/>
      </w:pPr>
      <w:rPr>
        <w:rFonts w:hint="default" w:ascii="Noto Sans Symbols" w:hAnsi="Noto Sans Symbols" w:cs="Noto Sans Symbols"/>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Noto Sans Symbols" w:hAnsi="Noto Sans Symbols" w:cs="Noto Sans Symbols"/>
      </w:rPr>
      <w:start w:val="1"/>
      <w:suff w:val="tab"/>
    </w:lvl>
    <w:lvl w:ilvl="6">
      <w:isLgl w:val="false"/>
      <w:lvlJc w:val="left"/>
      <w:lvlText w:val="●"/>
      <w:numFmt w:val="bullet"/>
      <w:pPr>
        <w:pBdr/>
        <w:tabs>
          <w:tab w:val="num" w:leader="none" w:pos="0"/>
        </w:tabs>
        <w:spacing/>
        <w:ind w:hanging="360" w:left="5040"/>
      </w:pPr>
      <w:rPr>
        <w:rFonts w:hint="default" w:ascii="Noto Sans Symbols" w:hAnsi="Noto Sans Symbols" w:cs="Noto Sans Symbols"/>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Noto Sans Symbols" w:hAnsi="Noto Sans Symbols" w:cs="Noto Sans Symbols"/>
      </w:rPr>
      <w:start w:val="1"/>
      <w:suff w:val="tab"/>
    </w:lvl>
  </w:abstractNum>
  <w:abstractNum w:abstractNumId="3">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1"/>
        <w:szCs w:val="21"/>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9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9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9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9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6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6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6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6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6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672"/>
    <w:next w:val="672"/>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72"/>
    <w:next w:val="672"/>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72"/>
    <w:next w:val="672"/>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8" w:default="1">
    <w:name w:val="No List"/>
    <w:uiPriority w:val="99"/>
    <w:semiHidden/>
    <w:unhideWhenUsed/>
    <w:pPr>
      <w:pBdr/>
      <w:spacing/>
      <w:ind/>
    </w:pPr>
  </w:style>
  <w:style w:type="character" w:styleId="149">
    <w:name w:val="Heading 1 Char"/>
    <w:basedOn w:val="679"/>
    <w:link w:val="673"/>
    <w:uiPriority w:val="9"/>
    <w:pPr>
      <w:pBdr/>
      <w:spacing/>
      <w:ind/>
    </w:pPr>
    <w:rPr>
      <w:rFonts w:ascii="Arial" w:hAnsi="Arial" w:eastAsia="Arial" w:cs="Arial"/>
      <w:color w:val="0f4761" w:themeColor="accent1" w:themeShade="BF"/>
      <w:sz w:val="40"/>
      <w:szCs w:val="40"/>
    </w:rPr>
  </w:style>
  <w:style w:type="character" w:styleId="150">
    <w:name w:val="Heading 2 Char"/>
    <w:basedOn w:val="679"/>
    <w:link w:val="674"/>
    <w:uiPriority w:val="9"/>
    <w:pPr>
      <w:pBdr/>
      <w:spacing/>
      <w:ind/>
    </w:pPr>
    <w:rPr>
      <w:rFonts w:ascii="Arial" w:hAnsi="Arial" w:eastAsia="Arial" w:cs="Arial"/>
      <w:color w:val="0f4761" w:themeColor="accent1" w:themeShade="BF"/>
      <w:sz w:val="32"/>
      <w:szCs w:val="32"/>
    </w:rPr>
  </w:style>
  <w:style w:type="character" w:styleId="151">
    <w:name w:val="Heading 3 Char"/>
    <w:basedOn w:val="679"/>
    <w:link w:val="675"/>
    <w:uiPriority w:val="9"/>
    <w:pPr>
      <w:pBdr/>
      <w:spacing/>
      <w:ind/>
    </w:pPr>
    <w:rPr>
      <w:rFonts w:ascii="Arial" w:hAnsi="Arial" w:eastAsia="Arial" w:cs="Arial"/>
      <w:color w:val="0f4761" w:themeColor="accent1" w:themeShade="BF"/>
      <w:sz w:val="28"/>
      <w:szCs w:val="28"/>
    </w:rPr>
  </w:style>
  <w:style w:type="character" w:styleId="152">
    <w:name w:val="Heading 4 Char"/>
    <w:basedOn w:val="679"/>
    <w:link w:val="676"/>
    <w:uiPriority w:val="9"/>
    <w:pPr>
      <w:pBdr/>
      <w:spacing/>
      <w:ind/>
    </w:pPr>
    <w:rPr>
      <w:rFonts w:ascii="Arial" w:hAnsi="Arial" w:eastAsia="Arial" w:cs="Arial"/>
      <w:i/>
      <w:iCs/>
      <w:color w:val="0f4761" w:themeColor="accent1" w:themeShade="BF"/>
    </w:rPr>
  </w:style>
  <w:style w:type="character" w:styleId="153">
    <w:name w:val="Heading 5 Char"/>
    <w:basedOn w:val="679"/>
    <w:link w:val="677"/>
    <w:uiPriority w:val="9"/>
    <w:pPr>
      <w:pBdr/>
      <w:spacing/>
      <w:ind/>
    </w:pPr>
    <w:rPr>
      <w:rFonts w:ascii="Arial" w:hAnsi="Arial" w:eastAsia="Arial" w:cs="Arial"/>
      <w:color w:val="0f4761" w:themeColor="accent1" w:themeShade="BF"/>
    </w:rPr>
  </w:style>
  <w:style w:type="character" w:styleId="154">
    <w:name w:val="Heading 6 Char"/>
    <w:basedOn w:val="679"/>
    <w:link w:val="678"/>
    <w:uiPriority w:val="9"/>
    <w:pPr>
      <w:pBdr/>
      <w:spacing/>
      <w:ind/>
    </w:pPr>
    <w:rPr>
      <w:rFonts w:ascii="Arial" w:hAnsi="Arial" w:eastAsia="Arial" w:cs="Arial"/>
      <w:i/>
      <w:iCs/>
      <w:color w:val="595959" w:themeColor="text1" w:themeTint="A6"/>
    </w:rPr>
  </w:style>
  <w:style w:type="character" w:styleId="155">
    <w:name w:val="Heading 7 Char"/>
    <w:basedOn w:val="679"/>
    <w:link w:val="144"/>
    <w:uiPriority w:val="9"/>
    <w:pPr>
      <w:pBdr/>
      <w:spacing/>
      <w:ind/>
    </w:pPr>
    <w:rPr>
      <w:rFonts w:ascii="Arial" w:hAnsi="Arial" w:eastAsia="Arial" w:cs="Arial"/>
      <w:color w:val="595959" w:themeColor="text1" w:themeTint="A6"/>
    </w:rPr>
  </w:style>
  <w:style w:type="character" w:styleId="156">
    <w:name w:val="Heading 8 Char"/>
    <w:basedOn w:val="679"/>
    <w:link w:val="145"/>
    <w:uiPriority w:val="9"/>
    <w:pPr>
      <w:pBdr/>
      <w:spacing/>
      <w:ind/>
    </w:pPr>
    <w:rPr>
      <w:rFonts w:ascii="Arial" w:hAnsi="Arial" w:eastAsia="Arial" w:cs="Arial"/>
      <w:i/>
      <w:iCs/>
      <w:color w:val="272727" w:themeColor="text1" w:themeTint="D8"/>
    </w:rPr>
  </w:style>
  <w:style w:type="character" w:styleId="157">
    <w:name w:val="Heading 9 Char"/>
    <w:basedOn w:val="679"/>
    <w:link w:val="146"/>
    <w:uiPriority w:val="9"/>
    <w:pPr>
      <w:pBdr/>
      <w:spacing/>
      <w:ind/>
    </w:pPr>
    <w:rPr>
      <w:rFonts w:ascii="Arial" w:hAnsi="Arial" w:eastAsia="Arial" w:cs="Arial"/>
      <w:i/>
      <w:iCs/>
      <w:color w:val="272727" w:themeColor="text1" w:themeTint="D8"/>
    </w:rPr>
  </w:style>
  <w:style w:type="character" w:styleId="159">
    <w:name w:val="Title Char"/>
    <w:basedOn w:val="679"/>
    <w:link w:val="686"/>
    <w:uiPriority w:val="10"/>
    <w:pPr>
      <w:pBdr/>
      <w:spacing/>
      <w:ind/>
    </w:pPr>
    <w:rPr>
      <w:rFonts w:ascii="Arial" w:hAnsi="Arial" w:eastAsia="Arial" w:cs="Arial"/>
      <w:spacing w:val="-10"/>
      <w:sz w:val="56"/>
      <w:szCs w:val="56"/>
    </w:rPr>
  </w:style>
  <w:style w:type="character" w:styleId="161">
    <w:name w:val="Subtitle Char"/>
    <w:basedOn w:val="679"/>
    <w:link w:val="687"/>
    <w:uiPriority w:val="11"/>
    <w:pPr>
      <w:pBdr/>
      <w:spacing/>
      <w:ind/>
    </w:pPr>
    <w:rPr>
      <w:color w:val="595959" w:themeColor="text1" w:themeTint="A6"/>
      <w:spacing w:val="15"/>
      <w:sz w:val="28"/>
      <w:szCs w:val="28"/>
    </w:rPr>
  </w:style>
  <w:style w:type="paragraph" w:styleId="162">
    <w:name w:val="Quote"/>
    <w:basedOn w:val="672"/>
    <w:next w:val="672"/>
    <w:link w:val="163"/>
    <w:uiPriority w:val="29"/>
    <w:qFormat/>
    <w:pPr>
      <w:pBdr/>
      <w:spacing w:before="160"/>
      <w:ind/>
      <w:jc w:val="center"/>
    </w:pPr>
    <w:rPr>
      <w:i/>
      <w:iCs/>
      <w:color w:val="404040" w:themeColor="text1" w:themeTint="BF"/>
    </w:rPr>
  </w:style>
  <w:style w:type="character" w:styleId="163">
    <w:name w:val="Quote Char"/>
    <w:basedOn w:val="679"/>
    <w:link w:val="162"/>
    <w:uiPriority w:val="29"/>
    <w:pPr>
      <w:pBdr/>
      <w:spacing/>
      <w:ind/>
    </w:pPr>
    <w:rPr>
      <w:i/>
      <w:iCs/>
      <w:color w:val="404040" w:themeColor="text1" w:themeTint="BF"/>
    </w:rPr>
  </w:style>
  <w:style w:type="character" w:styleId="165">
    <w:name w:val="Intense Emphasis"/>
    <w:basedOn w:val="679"/>
    <w:uiPriority w:val="21"/>
    <w:qFormat/>
    <w:pPr>
      <w:pBdr/>
      <w:spacing/>
      <w:ind/>
    </w:pPr>
    <w:rPr>
      <w:i/>
      <w:iCs/>
      <w:color w:val="0f4761" w:themeColor="accent1" w:themeShade="BF"/>
    </w:rPr>
  </w:style>
  <w:style w:type="paragraph" w:styleId="166">
    <w:name w:val="Intense Quote"/>
    <w:basedOn w:val="672"/>
    <w:next w:val="672"/>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79"/>
    <w:link w:val="166"/>
    <w:uiPriority w:val="30"/>
    <w:pPr>
      <w:pBdr/>
      <w:spacing/>
      <w:ind/>
    </w:pPr>
    <w:rPr>
      <w:i/>
      <w:iCs/>
      <w:color w:val="0f4761" w:themeColor="accent1" w:themeShade="BF"/>
    </w:rPr>
  </w:style>
  <w:style w:type="character" w:styleId="168">
    <w:name w:val="Intense Reference"/>
    <w:basedOn w:val="679"/>
    <w:uiPriority w:val="32"/>
    <w:qFormat/>
    <w:pPr>
      <w:pBdr/>
      <w:spacing/>
      <w:ind/>
    </w:pPr>
    <w:rPr>
      <w:b/>
      <w:bCs/>
      <w:smallCaps/>
      <w:color w:val="0f4761" w:themeColor="accent1" w:themeShade="BF"/>
      <w:spacing w:val="5"/>
    </w:rPr>
  </w:style>
  <w:style w:type="paragraph" w:styleId="169">
    <w:name w:val="No Spacing"/>
    <w:basedOn w:val="672"/>
    <w:uiPriority w:val="1"/>
    <w:qFormat/>
    <w:pPr>
      <w:pBdr/>
      <w:spacing w:after="0" w:line="240" w:lineRule="auto"/>
      <w:ind/>
    </w:pPr>
  </w:style>
  <w:style w:type="character" w:styleId="170">
    <w:name w:val="Subtle Emphasis"/>
    <w:basedOn w:val="679"/>
    <w:uiPriority w:val="19"/>
    <w:qFormat/>
    <w:pPr>
      <w:pBdr/>
      <w:spacing/>
      <w:ind/>
    </w:pPr>
    <w:rPr>
      <w:i/>
      <w:iCs/>
      <w:color w:val="404040" w:themeColor="text1" w:themeTint="BF"/>
    </w:rPr>
  </w:style>
  <w:style w:type="character" w:styleId="171">
    <w:name w:val="Emphasis"/>
    <w:basedOn w:val="679"/>
    <w:uiPriority w:val="20"/>
    <w:qFormat/>
    <w:pPr>
      <w:pBdr/>
      <w:spacing/>
      <w:ind/>
    </w:pPr>
    <w:rPr>
      <w:i/>
      <w:iCs/>
    </w:rPr>
  </w:style>
  <w:style w:type="character" w:styleId="172">
    <w:name w:val="Strong"/>
    <w:basedOn w:val="679"/>
    <w:uiPriority w:val="22"/>
    <w:qFormat/>
    <w:pPr>
      <w:pBdr/>
      <w:spacing/>
      <w:ind/>
    </w:pPr>
    <w:rPr>
      <w:b/>
      <w:bCs/>
    </w:rPr>
  </w:style>
  <w:style w:type="character" w:styleId="173">
    <w:name w:val="Subtle Reference"/>
    <w:basedOn w:val="679"/>
    <w:uiPriority w:val="31"/>
    <w:qFormat/>
    <w:pPr>
      <w:pBdr/>
      <w:spacing/>
      <w:ind/>
    </w:pPr>
    <w:rPr>
      <w:smallCaps/>
      <w:color w:val="5a5a5a" w:themeColor="text1" w:themeTint="A5"/>
    </w:rPr>
  </w:style>
  <w:style w:type="character" w:styleId="174">
    <w:name w:val="Book Title"/>
    <w:basedOn w:val="679"/>
    <w:uiPriority w:val="33"/>
    <w:qFormat/>
    <w:pPr>
      <w:pBdr/>
      <w:spacing/>
      <w:ind/>
    </w:pPr>
    <w:rPr>
      <w:b/>
      <w:bCs/>
      <w:i/>
      <w:iCs/>
      <w:spacing w:val="5"/>
    </w:rPr>
  </w:style>
  <w:style w:type="paragraph" w:styleId="175">
    <w:name w:val="Header"/>
    <w:basedOn w:val="672"/>
    <w:link w:val="176"/>
    <w:uiPriority w:val="99"/>
    <w:unhideWhenUsed/>
    <w:pPr>
      <w:pBdr/>
      <w:tabs>
        <w:tab w:val="center" w:leader="none" w:pos="4844"/>
        <w:tab w:val="right" w:leader="none" w:pos="9689"/>
      </w:tabs>
      <w:spacing w:after="0" w:line="240" w:lineRule="auto"/>
      <w:ind/>
    </w:pPr>
  </w:style>
  <w:style w:type="character" w:styleId="176">
    <w:name w:val="Header Char"/>
    <w:basedOn w:val="679"/>
    <w:link w:val="175"/>
    <w:uiPriority w:val="99"/>
    <w:pPr>
      <w:pBdr/>
      <w:spacing/>
      <w:ind/>
    </w:pPr>
  </w:style>
  <w:style w:type="paragraph" w:styleId="177">
    <w:name w:val="Footer"/>
    <w:basedOn w:val="672"/>
    <w:link w:val="178"/>
    <w:uiPriority w:val="99"/>
    <w:unhideWhenUsed/>
    <w:pPr>
      <w:pBdr/>
      <w:tabs>
        <w:tab w:val="center" w:leader="none" w:pos="4844"/>
        <w:tab w:val="right" w:leader="none" w:pos="9689"/>
      </w:tabs>
      <w:spacing w:after="0" w:line="240" w:lineRule="auto"/>
      <w:ind/>
    </w:pPr>
  </w:style>
  <w:style w:type="character" w:styleId="178">
    <w:name w:val="Footer Char"/>
    <w:basedOn w:val="679"/>
    <w:link w:val="177"/>
    <w:uiPriority w:val="99"/>
    <w:pPr>
      <w:pBdr/>
      <w:spacing/>
      <w:ind/>
    </w:pPr>
  </w:style>
  <w:style w:type="paragraph" w:styleId="180">
    <w:name w:val="footnote text"/>
    <w:basedOn w:val="672"/>
    <w:link w:val="181"/>
    <w:uiPriority w:val="99"/>
    <w:semiHidden/>
    <w:unhideWhenUsed/>
    <w:pPr>
      <w:pBdr/>
      <w:spacing w:after="0" w:line="240" w:lineRule="auto"/>
      <w:ind/>
    </w:pPr>
    <w:rPr>
      <w:sz w:val="20"/>
      <w:szCs w:val="20"/>
    </w:rPr>
  </w:style>
  <w:style w:type="character" w:styleId="181">
    <w:name w:val="Footnote Text Char"/>
    <w:basedOn w:val="679"/>
    <w:link w:val="180"/>
    <w:uiPriority w:val="99"/>
    <w:semiHidden/>
    <w:pPr>
      <w:pBdr/>
      <w:spacing/>
      <w:ind/>
    </w:pPr>
    <w:rPr>
      <w:sz w:val="20"/>
      <w:szCs w:val="20"/>
    </w:rPr>
  </w:style>
  <w:style w:type="character" w:styleId="182">
    <w:name w:val="footnote reference"/>
    <w:basedOn w:val="679"/>
    <w:uiPriority w:val="99"/>
    <w:semiHidden/>
    <w:unhideWhenUsed/>
    <w:pPr>
      <w:pBdr/>
      <w:spacing/>
      <w:ind/>
    </w:pPr>
    <w:rPr>
      <w:vertAlign w:val="superscript"/>
    </w:rPr>
  </w:style>
  <w:style w:type="paragraph" w:styleId="183">
    <w:name w:val="endnote text"/>
    <w:basedOn w:val="672"/>
    <w:link w:val="184"/>
    <w:uiPriority w:val="99"/>
    <w:semiHidden/>
    <w:unhideWhenUsed/>
    <w:pPr>
      <w:pBdr/>
      <w:spacing w:after="0" w:line="240" w:lineRule="auto"/>
      <w:ind/>
    </w:pPr>
    <w:rPr>
      <w:sz w:val="20"/>
      <w:szCs w:val="20"/>
    </w:rPr>
  </w:style>
  <w:style w:type="character" w:styleId="184">
    <w:name w:val="Endnote Text Char"/>
    <w:basedOn w:val="679"/>
    <w:link w:val="183"/>
    <w:uiPriority w:val="99"/>
    <w:semiHidden/>
    <w:pPr>
      <w:pBdr/>
      <w:spacing/>
      <w:ind/>
    </w:pPr>
    <w:rPr>
      <w:sz w:val="20"/>
      <w:szCs w:val="20"/>
    </w:rPr>
  </w:style>
  <w:style w:type="character" w:styleId="185">
    <w:name w:val="endnote reference"/>
    <w:basedOn w:val="679"/>
    <w:uiPriority w:val="99"/>
    <w:semiHidden/>
    <w:unhideWhenUsed/>
    <w:pPr>
      <w:pBdr/>
      <w:spacing/>
      <w:ind/>
    </w:pPr>
    <w:rPr>
      <w:vertAlign w:val="superscript"/>
    </w:rPr>
  </w:style>
  <w:style w:type="character" w:styleId="186">
    <w:name w:val="Hyperlink"/>
    <w:basedOn w:val="679"/>
    <w:uiPriority w:val="99"/>
    <w:unhideWhenUsed/>
    <w:pPr>
      <w:pBdr/>
      <w:spacing/>
      <w:ind/>
    </w:pPr>
    <w:rPr>
      <w:color w:val="0563c1" w:themeColor="hyperlink"/>
      <w:u w:val="single"/>
    </w:rPr>
  </w:style>
  <w:style w:type="character" w:styleId="187">
    <w:name w:val="FollowedHyperlink"/>
    <w:basedOn w:val="679"/>
    <w:uiPriority w:val="99"/>
    <w:semiHidden/>
    <w:unhideWhenUsed/>
    <w:pPr>
      <w:pBdr/>
      <w:spacing/>
      <w:ind/>
    </w:pPr>
    <w:rPr>
      <w:color w:val="954f72" w:themeColor="followedHyperlink"/>
      <w:u w:val="single"/>
    </w:rPr>
  </w:style>
  <w:style w:type="paragraph" w:styleId="188">
    <w:name w:val="toc 1"/>
    <w:basedOn w:val="672"/>
    <w:next w:val="672"/>
    <w:uiPriority w:val="39"/>
    <w:unhideWhenUsed/>
    <w:pPr>
      <w:pBdr/>
      <w:spacing w:after="100"/>
      <w:ind/>
    </w:pPr>
  </w:style>
  <w:style w:type="paragraph" w:styleId="189">
    <w:name w:val="toc 2"/>
    <w:basedOn w:val="672"/>
    <w:next w:val="672"/>
    <w:uiPriority w:val="39"/>
    <w:unhideWhenUsed/>
    <w:pPr>
      <w:pBdr/>
      <w:spacing w:after="100"/>
      <w:ind w:left="220"/>
    </w:pPr>
  </w:style>
  <w:style w:type="paragraph" w:styleId="190">
    <w:name w:val="toc 3"/>
    <w:basedOn w:val="672"/>
    <w:next w:val="672"/>
    <w:uiPriority w:val="39"/>
    <w:unhideWhenUsed/>
    <w:pPr>
      <w:pBdr/>
      <w:spacing w:after="100"/>
      <w:ind w:left="440"/>
    </w:pPr>
  </w:style>
  <w:style w:type="paragraph" w:styleId="191">
    <w:name w:val="toc 4"/>
    <w:basedOn w:val="672"/>
    <w:next w:val="672"/>
    <w:uiPriority w:val="39"/>
    <w:unhideWhenUsed/>
    <w:pPr>
      <w:pBdr/>
      <w:spacing w:after="100"/>
      <w:ind w:left="660"/>
    </w:pPr>
  </w:style>
  <w:style w:type="paragraph" w:styleId="192">
    <w:name w:val="toc 5"/>
    <w:basedOn w:val="672"/>
    <w:next w:val="672"/>
    <w:uiPriority w:val="39"/>
    <w:unhideWhenUsed/>
    <w:pPr>
      <w:pBdr/>
      <w:spacing w:after="100"/>
      <w:ind w:left="880"/>
    </w:pPr>
  </w:style>
  <w:style w:type="paragraph" w:styleId="193">
    <w:name w:val="toc 6"/>
    <w:basedOn w:val="672"/>
    <w:next w:val="672"/>
    <w:uiPriority w:val="39"/>
    <w:unhideWhenUsed/>
    <w:pPr>
      <w:pBdr/>
      <w:spacing w:after="100"/>
      <w:ind w:left="1100"/>
    </w:pPr>
  </w:style>
  <w:style w:type="paragraph" w:styleId="194">
    <w:name w:val="toc 7"/>
    <w:basedOn w:val="672"/>
    <w:next w:val="672"/>
    <w:uiPriority w:val="39"/>
    <w:unhideWhenUsed/>
    <w:pPr>
      <w:pBdr/>
      <w:spacing w:after="100"/>
      <w:ind w:left="1320"/>
    </w:pPr>
  </w:style>
  <w:style w:type="paragraph" w:styleId="195">
    <w:name w:val="toc 8"/>
    <w:basedOn w:val="672"/>
    <w:next w:val="672"/>
    <w:uiPriority w:val="39"/>
    <w:unhideWhenUsed/>
    <w:pPr>
      <w:pBdr/>
      <w:spacing w:after="100"/>
      <w:ind w:left="1540"/>
    </w:pPr>
  </w:style>
  <w:style w:type="paragraph" w:styleId="196">
    <w:name w:val="toc 9"/>
    <w:basedOn w:val="672"/>
    <w:next w:val="672"/>
    <w:uiPriority w:val="39"/>
    <w:unhideWhenUsed/>
    <w:pPr>
      <w:pBdr/>
      <w:spacing w:after="100"/>
      <w:ind w:left="1760"/>
    </w:pPr>
  </w:style>
  <w:style w:type="character" w:styleId="197">
    <w:name w:val="Placeholder Text"/>
    <w:basedOn w:val="679"/>
    <w:uiPriority w:val="99"/>
    <w:semiHidden/>
    <w:pPr>
      <w:pBdr/>
      <w:spacing/>
      <w:ind/>
    </w:pPr>
    <w:rPr>
      <w:color w:val="666666"/>
    </w:rPr>
  </w:style>
  <w:style w:type="paragraph" w:styleId="207">
    <w:name w:val="TOC Heading"/>
    <w:uiPriority w:val="39"/>
    <w:unhideWhenUsed/>
    <w:pPr>
      <w:pBdr/>
      <w:spacing/>
      <w:ind/>
    </w:pPr>
  </w:style>
  <w:style w:type="paragraph" w:styleId="208">
    <w:name w:val="table of figures"/>
    <w:basedOn w:val="672"/>
    <w:next w:val="672"/>
    <w:uiPriority w:val="99"/>
    <w:unhideWhenUsed/>
    <w:pPr>
      <w:pBdr/>
      <w:spacing w:after="0" w:afterAutospacing="0"/>
      <w:ind/>
    </w:pPr>
  </w:style>
  <w:style w:type="paragraph" w:styleId="672" w:default="1">
    <w:name w:val="Normal"/>
    <w:qFormat/>
    <w:pPr>
      <w:widowControl w:val="true"/>
      <w:pBdr/>
      <w:bidi w:val="false"/>
      <w:spacing w:after="160" w:before="0" w:line="312" w:lineRule="auto"/>
      <w:ind/>
      <w:jc w:val="left"/>
    </w:pPr>
    <w:rPr>
      <w:rFonts w:ascii="Calibri" w:hAnsi="Calibri" w:eastAsia="Calibri" w:cs="Calibri"/>
      <w:color w:val="auto"/>
      <w:sz w:val="21"/>
      <w:szCs w:val="21"/>
      <w:lang w:val="fr-FR" w:eastAsia="fr-FR" w:bidi="ar-SA"/>
    </w:rPr>
  </w:style>
  <w:style w:type="paragraph" w:styleId="673">
    <w:name w:val="Heading 1"/>
    <w:basedOn w:val="672"/>
    <w:next w:val="672"/>
    <w:uiPriority w:val="9"/>
    <w:qFormat/>
    <w:pPr>
      <w:keepNext w:val="true"/>
      <w:keepLines w:val="true"/>
      <w:pBdr>
        <w:left w:val="single" w:color="ed7d31" w:sz="12" w:space="12"/>
      </w:pBdr>
      <w:spacing w:after="80" w:before="80" w:line="240" w:lineRule="auto"/>
      <w:ind/>
      <w:outlineLvl w:val="0"/>
    </w:pPr>
    <w:rPr>
      <w:smallCaps/>
      <w:sz w:val="36"/>
      <w:szCs w:val="36"/>
    </w:rPr>
  </w:style>
  <w:style w:type="paragraph" w:styleId="674">
    <w:name w:val="Heading 2"/>
    <w:basedOn w:val="672"/>
    <w:next w:val="672"/>
    <w:uiPriority w:val="9"/>
    <w:unhideWhenUsed/>
    <w:qFormat/>
    <w:pPr>
      <w:keepNext w:val="true"/>
      <w:keepLines w:val="true"/>
      <w:pBdr/>
      <w:spacing w:after="0" w:before="120" w:line="240" w:lineRule="auto"/>
      <w:ind/>
      <w:outlineLvl w:val="1"/>
    </w:pPr>
    <w:rPr>
      <w:sz w:val="36"/>
      <w:szCs w:val="36"/>
    </w:rPr>
  </w:style>
  <w:style w:type="paragraph" w:styleId="675">
    <w:name w:val="Heading 3"/>
    <w:basedOn w:val="672"/>
    <w:next w:val="672"/>
    <w:uiPriority w:val="9"/>
    <w:unhideWhenUsed/>
    <w:qFormat/>
    <w:pPr>
      <w:keepNext w:val="true"/>
      <w:keepLines w:val="true"/>
      <w:pBdr/>
      <w:spacing w:after="0" w:before="80" w:line="240" w:lineRule="auto"/>
      <w:ind/>
      <w:outlineLvl w:val="2"/>
    </w:pPr>
    <w:rPr>
      <w:smallCaps/>
      <w:sz w:val="28"/>
      <w:szCs w:val="28"/>
    </w:rPr>
  </w:style>
  <w:style w:type="paragraph" w:styleId="676">
    <w:name w:val="Heading 4"/>
    <w:basedOn w:val="672"/>
    <w:next w:val="672"/>
    <w:uiPriority w:val="9"/>
    <w:semiHidden/>
    <w:unhideWhenUsed/>
    <w:qFormat/>
    <w:pPr>
      <w:keepNext w:val="true"/>
      <w:keepLines w:val="true"/>
      <w:pBdr/>
      <w:spacing w:after="0" w:before="80" w:line="240" w:lineRule="auto"/>
      <w:ind/>
      <w:outlineLvl w:val="3"/>
    </w:pPr>
    <w:rPr>
      <w:i/>
      <w:sz w:val="28"/>
      <w:szCs w:val="28"/>
    </w:rPr>
  </w:style>
  <w:style w:type="paragraph" w:styleId="677">
    <w:name w:val="Heading 5"/>
    <w:basedOn w:val="672"/>
    <w:next w:val="672"/>
    <w:uiPriority w:val="9"/>
    <w:semiHidden/>
    <w:unhideWhenUsed/>
    <w:qFormat/>
    <w:pPr>
      <w:keepNext w:val="true"/>
      <w:keepLines w:val="true"/>
      <w:pBdr/>
      <w:spacing w:after="0" w:before="80" w:line="240" w:lineRule="auto"/>
      <w:ind/>
      <w:outlineLvl w:val="4"/>
    </w:pPr>
    <w:rPr>
      <w:sz w:val="24"/>
      <w:szCs w:val="24"/>
    </w:rPr>
  </w:style>
  <w:style w:type="paragraph" w:styleId="678">
    <w:name w:val="Heading 6"/>
    <w:basedOn w:val="672"/>
    <w:next w:val="672"/>
    <w:uiPriority w:val="9"/>
    <w:semiHidden/>
    <w:unhideWhenUsed/>
    <w:qFormat/>
    <w:pPr>
      <w:keepNext w:val="true"/>
      <w:keepLines w:val="true"/>
      <w:pBdr/>
      <w:spacing w:after="0" w:before="80" w:line="240" w:lineRule="auto"/>
      <w:ind/>
      <w:outlineLvl w:val="5"/>
    </w:pPr>
    <w:rPr>
      <w:i/>
      <w:sz w:val="24"/>
      <w:szCs w:val="24"/>
    </w:rPr>
  </w:style>
  <w:style w:type="character" w:styleId="679" w:default="1">
    <w:name w:val="Default Paragraph Font"/>
    <w:uiPriority w:val="1"/>
    <w:semiHidden/>
    <w:unhideWhenUsed/>
    <w:qFormat/>
    <w:pPr>
      <w:pBdr/>
      <w:spacing/>
      <w:ind/>
    </w:pPr>
  </w:style>
  <w:style w:type="character" w:styleId="680">
    <w:name w:val="Caractères de numérotation"/>
    <w:qFormat/>
    <w:pPr>
      <w:pBdr/>
      <w:spacing/>
      <w:ind/>
    </w:pPr>
  </w:style>
  <w:style w:type="paragraph" w:styleId="681">
    <w:name w:val="Titre"/>
    <w:basedOn w:val="672"/>
    <w:next w:val="682"/>
    <w:qFormat/>
    <w:pPr>
      <w:keepNext w:val="true"/>
      <w:pBdr/>
      <w:spacing w:after="120" w:before="240"/>
      <w:ind/>
    </w:pPr>
    <w:rPr>
      <w:rFonts w:ascii="Liberation Sans" w:hAnsi="Liberation Sans" w:eastAsia="Noto Sans CJK SC" w:cs="Noto Sans Devanagari"/>
      <w:sz w:val="28"/>
      <w:szCs w:val="28"/>
    </w:rPr>
  </w:style>
  <w:style w:type="paragraph" w:styleId="682">
    <w:name w:val="Body Text"/>
    <w:basedOn w:val="672"/>
    <w:pPr>
      <w:pBdr/>
      <w:spacing w:after="140" w:before="0" w:line="276" w:lineRule="auto"/>
      <w:ind/>
    </w:pPr>
  </w:style>
  <w:style w:type="paragraph" w:styleId="683">
    <w:name w:val="List"/>
    <w:basedOn w:val="682"/>
    <w:pPr>
      <w:pBdr/>
      <w:spacing/>
      <w:ind/>
    </w:pPr>
    <w:rPr>
      <w:rFonts w:cs="Noto Sans Devanagari"/>
    </w:rPr>
  </w:style>
  <w:style w:type="paragraph" w:styleId="684">
    <w:name w:val="Caption"/>
    <w:basedOn w:val="672"/>
    <w:qFormat/>
    <w:pPr>
      <w:suppressLineNumbers w:val="true"/>
      <w:pBdr/>
      <w:spacing w:after="120" w:before="120"/>
      <w:ind/>
    </w:pPr>
    <w:rPr>
      <w:rFonts w:cs="Noto Sans Devanagari"/>
      <w:i/>
      <w:iCs/>
      <w:sz w:val="24"/>
      <w:szCs w:val="24"/>
    </w:rPr>
  </w:style>
  <w:style w:type="paragraph" w:styleId="685">
    <w:name w:val="Index"/>
    <w:basedOn w:val="672"/>
    <w:qFormat/>
    <w:pPr>
      <w:suppressLineNumbers w:val="true"/>
      <w:pBdr/>
      <w:spacing/>
      <w:ind/>
    </w:pPr>
    <w:rPr>
      <w:rFonts w:cs="Noto Sans Devanagari"/>
    </w:rPr>
  </w:style>
  <w:style w:type="paragraph" w:styleId="686">
    <w:name w:val="Title"/>
    <w:basedOn w:val="672"/>
    <w:next w:val="672"/>
    <w:uiPriority w:val="10"/>
    <w:qFormat/>
    <w:pPr>
      <w:pBdr/>
      <w:spacing w:after="0" w:before="0" w:line="240" w:lineRule="auto"/>
      <w:ind/>
    </w:pPr>
    <w:rPr>
      <w:smallCaps/>
      <w:sz w:val="76"/>
      <w:szCs w:val="76"/>
    </w:rPr>
  </w:style>
  <w:style w:type="paragraph" w:styleId="687">
    <w:name w:val="Subtitle"/>
    <w:basedOn w:val="672"/>
    <w:next w:val="672"/>
    <w:uiPriority w:val="11"/>
    <w:qFormat/>
    <w:pPr>
      <w:pBdr/>
      <w:spacing w:after="240" w:before="0"/>
      <w:ind/>
    </w:pPr>
    <w:rPr>
      <w:color w:val="000000"/>
      <w:sz w:val="24"/>
      <w:szCs w:val="24"/>
    </w:rPr>
  </w:style>
  <w:style w:type="paragraph" w:styleId="688">
    <w:name w:val="List Paragraph"/>
    <w:basedOn w:val="672"/>
    <w:uiPriority w:val="34"/>
    <w:qFormat/>
    <w:pPr>
      <w:pBdr/>
      <w:spacing w:after="160" w:before="0"/>
      <w:ind w:left="720"/>
      <w:contextualSpacing w:val="true"/>
    </w:pPr>
  </w:style>
  <w:style w:type="numbering" w:styleId="689">
    <w:name w:val="Pas de liste"/>
    <w:uiPriority w:val="99"/>
    <w:semiHidden/>
    <w:unhideWhenUsed/>
    <w:qFormat/>
    <w:pPr>
      <w:pBdr/>
      <w:spacing/>
      <w:ind/>
    </w:pPr>
  </w:style>
  <w:style w:type="table" w:styleId="690"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w5UGOAT8bd39zxPalDrWtbvIrA==">CgMxLjA4AHIhMWRrRTFiR3I1OWVQVUprVGZ1cTNobElDUmxNSFBqMTZJ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ONLYOFFICE/9.0.0.172</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fr-FR</dc:language>
  <cp:revision>36</cp:revision>
  <dcterms:created xsi:type="dcterms:W3CDTF">2024-06-26T17:46:00Z</dcterms:created>
  <dcterms:modified xsi:type="dcterms:W3CDTF">2025-12-21T13:43:34Z</dcterms:modified>
</cp:coreProperties>
</file>